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67303" w14:textId="75513B37" w:rsidR="00004832" w:rsidRPr="00844B1E" w:rsidRDefault="00004832" w:rsidP="46C4DE92">
      <w:pPr>
        <w:pStyle w:val="Header"/>
        <w:tabs>
          <w:tab w:val="right" w:pos="9639"/>
        </w:tabs>
        <w:rPr>
          <w:noProof w:val="0"/>
          <w:sz w:val="24"/>
          <w:szCs w:val="24"/>
        </w:rPr>
      </w:pPr>
      <w:r w:rsidRPr="00844B1E">
        <w:rPr>
          <w:noProof w:val="0"/>
          <w:sz w:val="24"/>
          <w:szCs w:val="24"/>
        </w:rPr>
        <w:t>3GPP TSG-RAN WG2 Meeting #</w:t>
      </w:r>
      <w:r w:rsidRPr="00844B1E">
        <w:rPr>
          <w:noProof w:val="0"/>
          <w:sz w:val="24"/>
          <w:szCs w:val="24"/>
          <w:lang w:eastAsia="zh-CN"/>
        </w:rPr>
        <w:t>103</w:t>
      </w:r>
      <w:r w:rsidR="007028CA" w:rsidRPr="00844B1E">
        <w:rPr>
          <w:noProof w:val="0"/>
          <w:sz w:val="24"/>
          <w:szCs w:val="24"/>
          <w:lang w:eastAsia="zh-CN"/>
        </w:rPr>
        <w:t>bis</w:t>
      </w:r>
      <w:r w:rsidRPr="00844B1E">
        <w:rPr>
          <w:bCs/>
          <w:noProof w:val="0"/>
          <w:sz w:val="24"/>
          <w:szCs w:val="24"/>
        </w:rPr>
        <w:tab/>
      </w:r>
      <w:r w:rsidRPr="00844B1E">
        <w:rPr>
          <w:noProof w:val="0"/>
          <w:sz w:val="24"/>
          <w:szCs w:val="24"/>
        </w:rPr>
        <w:t>R2-18</w:t>
      </w:r>
      <w:r w:rsidR="00844B1E" w:rsidRPr="00844B1E">
        <w:rPr>
          <w:noProof w:val="0"/>
          <w:sz w:val="24"/>
          <w:szCs w:val="24"/>
        </w:rPr>
        <w:t>14293</w:t>
      </w:r>
    </w:p>
    <w:p w14:paraId="231362B2" w14:textId="4C9D1553" w:rsidR="00CD4C7B" w:rsidRPr="00B266B0" w:rsidRDefault="007028CA" w:rsidP="46C4DE92">
      <w:pPr>
        <w:pStyle w:val="Header"/>
        <w:tabs>
          <w:tab w:val="right" w:pos="9639"/>
        </w:tabs>
        <w:rPr>
          <w:noProof w:val="0"/>
          <w:sz w:val="24"/>
          <w:szCs w:val="24"/>
        </w:rPr>
      </w:pPr>
      <w:r w:rsidRPr="008F396F">
        <w:rPr>
          <w:noProof w:val="0"/>
          <w:sz w:val="24"/>
          <w:szCs w:val="24"/>
          <w:lang w:eastAsia="zh-CN"/>
        </w:rPr>
        <w:t>Chengdu, China, 08 - 12 October 2018</w:t>
      </w:r>
      <w:r>
        <w:rPr>
          <w:noProof w:val="0"/>
          <w:sz w:val="24"/>
          <w:szCs w:val="24"/>
          <w:lang w:eastAsia="zh-CN"/>
        </w:rPr>
        <w:tab/>
      </w:r>
    </w:p>
    <w:p w14:paraId="39BE00F6" w14:textId="77777777" w:rsidR="00CD4C7B" w:rsidRPr="006842D7" w:rsidRDefault="00CD4C7B" w:rsidP="00CD4C7B">
      <w:pPr>
        <w:pStyle w:val="Header"/>
        <w:rPr>
          <w:bCs/>
          <w:noProof w:val="0"/>
          <w:sz w:val="24"/>
        </w:rPr>
      </w:pPr>
    </w:p>
    <w:p w14:paraId="49379CFB" w14:textId="77777777" w:rsidR="00CD4C7B" w:rsidRPr="006842D7" w:rsidRDefault="00CD4C7B" w:rsidP="00CD4C7B">
      <w:pPr>
        <w:pStyle w:val="Header"/>
        <w:rPr>
          <w:bCs/>
          <w:noProof w:val="0"/>
          <w:sz w:val="24"/>
        </w:rPr>
      </w:pPr>
    </w:p>
    <w:p w14:paraId="758E2B30" w14:textId="6721FD80" w:rsidR="00CD4C7B" w:rsidRPr="00B266B0" w:rsidRDefault="00CD4C7B" w:rsidP="46C4DE92">
      <w:pPr>
        <w:pStyle w:val="CRCoverPage"/>
        <w:tabs>
          <w:tab w:val="left" w:pos="1985"/>
        </w:tabs>
        <w:rPr>
          <w:rFonts w:eastAsia="Arial" w:cs="Arial"/>
          <w:b/>
          <w:bCs/>
          <w:sz w:val="24"/>
          <w:szCs w:val="24"/>
          <w:lang w:eastAsia="ja-JP"/>
        </w:rPr>
      </w:pPr>
      <w:r w:rsidRPr="46C4DE92">
        <w:rPr>
          <w:b/>
          <w:bCs/>
          <w:sz w:val="24"/>
          <w:szCs w:val="24"/>
        </w:rPr>
        <w:t>Agenda item:</w:t>
      </w:r>
      <w:r>
        <w:rPr>
          <w:rFonts w:cs="Arial"/>
          <w:b/>
          <w:bCs/>
          <w:sz w:val="24"/>
        </w:rPr>
        <w:tab/>
      </w:r>
      <w:r w:rsidR="00844B1E">
        <w:rPr>
          <w:rFonts w:cs="Arial"/>
          <w:b/>
          <w:bCs/>
          <w:sz w:val="24"/>
        </w:rPr>
        <w:t>11.2.1.2</w:t>
      </w:r>
    </w:p>
    <w:p w14:paraId="6A1BC0C1" w14:textId="2FF76E31" w:rsidR="00CD4C7B" w:rsidRPr="00B266B0" w:rsidRDefault="00CD4C7B" w:rsidP="46C4DE92">
      <w:pPr>
        <w:tabs>
          <w:tab w:val="left" w:pos="1985"/>
        </w:tabs>
        <w:ind w:left="1985" w:hanging="1985"/>
        <w:rPr>
          <w:rFonts w:ascii="Arial" w:eastAsia="Arial" w:hAnsi="Arial" w:cs="Arial"/>
          <w:b/>
          <w:bCs/>
          <w:sz w:val="24"/>
          <w:szCs w:val="24"/>
        </w:rPr>
      </w:pPr>
      <w:r w:rsidRPr="46C4DE92">
        <w:rPr>
          <w:rFonts w:ascii="Arial" w:eastAsia="Arial" w:hAnsi="Arial" w:cs="Arial"/>
          <w:b/>
          <w:bCs/>
          <w:sz w:val="24"/>
          <w:szCs w:val="24"/>
        </w:rPr>
        <w:t>Source:</w:t>
      </w:r>
      <w:r w:rsidRPr="00B266B0">
        <w:rPr>
          <w:rFonts w:ascii="Arial" w:hAnsi="Arial" w:cs="Arial"/>
          <w:b/>
          <w:bCs/>
          <w:sz w:val="24"/>
        </w:rPr>
        <w:tab/>
      </w:r>
      <w:r w:rsidR="001741A0" w:rsidRPr="46C4DE92">
        <w:rPr>
          <w:rFonts w:ascii="Arial" w:eastAsia="Arial" w:hAnsi="Arial" w:cs="Arial"/>
          <w:b/>
          <w:bCs/>
          <w:sz w:val="24"/>
          <w:szCs w:val="24"/>
        </w:rPr>
        <w:t>Nokia</w:t>
      </w:r>
      <w:r w:rsidR="00090468" w:rsidRPr="46C4DE92">
        <w:rPr>
          <w:rFonts w:ascii="Arial" w:eastAsia="Arial" w:hAnsi="Arial" w:cs="Arial"/>
          <w:b/>
          <w:bCs/>
          <w:sz w:val="24"/>
          <w:szCs w:val="24"/>
        </w:rPr>
        <w:t xml:space="preserve">, </w:t>
      </w:r>
      <w:r w:rsidR="00325AE3" w:rsidRPr="46C4DE92">
        <w:rPr>
          <w:rFonts w:ascii="Arial" w:eastAsia="Arial" w:hAnsi="Arial" w:cs="Arial"/>
          <w:b/>
          <w:bCs/>
          <w:sz w:val="24"/>
          <w:szCs w:val="24"/>
        </w:rPr>
        <w:t>Nokia</w:t>
      </w:r>
      <w:r w:rsidR="00090468" w:rsidRPr="46C4DE92">
        <w:rPr>
          <w:rFonts w:ascii="Arial" w:eastAsia="Arial" w:hAnsi="Arial" w:cs="Arial"/>
          <w:b/>
          <w:bCs/>
          <w:sz w:val="24"/>
          <w:szCs w:val="24"/>
        </w:rPr>
        <w:t xml:space="preserve"> Shanghai Bell</w:t>
      </w:r>
    </w:p>
    <w:p w14:paraId="45BE90BE" w14:textId="35C4A92D" w:rsidR="00CD4C7B" w:rsidRDefault="00CD4C7B" w:rsidP="46C4DE92">
      <w:pPr>
        <w:ind w:left="1985" w:hanging="1985"/>
        <w:rPr>
          <w:rFonts w:ascii="Arial" w:eastAsia="Arial" w:hAnsi="Arial" w:cs="Arial"/>
          <w:b/>
          <w:bCs/>
          <w:sz w:val="24"/>
          <w:szCs w:val="24"/>
        </w:rPr>
      </w:pPr>
      <w:r w:rsidRPr="46C4DE92">
        <w:rPr>
          <w:rFonts w:ascii="Arial" w:eastAsia="Arial" w:hAnsi="Arial" w:cs="Arial"/>
          <w:b/>
          <w:bCs/>
          <w:sz w:val="24"/>
          <w:szCs w:val="24"/>
        </w:rPr>
        <w:t>Title:</w:t>
      </w:r>
      <w:r w:rsidRPr="00B266B0">
        <w:rPr>
          <w:rFonts w:ascii="Arial" w:hAnsi="Arial" w:cs="Arial"/>
          <w:b/>
          <w:bCs/>
          <w:sz w:val="24"/>
        </w:rPr>
        <w:tab/>
      </w:r>
      <w:r w:rsidR="00D667FE">
        <w:rPr>
          <w:rFonts w:ascii="Arial" w:eastAsia="Arial" w:hAnsi="Arial" w:cs="Arial"/>
          <w:b/>
          <w:bCs/>
          <w:sz w:val="24"/>
          <w:szCs w:val="24"/>
          <w:lang w:eastAsia="zh-CN"/>
        </w:rPr>
        <w:t xml:space="preserve">On </w:t>
      </w:r>
      <w:r w:rsidR="009A7429">
        <w:rPr>
          <w:rFonts w:ascii="Arial" w:eastAsia="Arial" w:hAnsi="Arial" w:cs="Arial"/>
          <w:b/>
          <w:bCs/>
          <w:sz w:val="24"/>
          <w:szCs w:val="24"/>
          <w:lang w:eastAsia="zh-CN"/>
        </w:rPr>
        <w:t>the impact of LBT on RA and SR procedures</w:t>
      </w:r>
    </w:p>
    <w:p w14:paraId="3AC3A0B1" w14:textId="170817CC" w:rsidR="00CD4C7B" w:rsidRPr="00B266B0" w:rsidRDefault="00CD4C7B" w:rsidP="46C4DE92">
      <w:pPr>
        <w:ind w:left="1985" w:hanging="1985"/>
        <w:rPr>
          <w:rFonts w:ascii="Arial" w:eastAsia="Arial" w:hAnsi="Arial" w:cs="Arial"/>
          <w:b/>
          <w:bCs/>
          <w:sz w:val="24"/>
          <w:szCs w:val="24"/>
        </w:rPr>
      </w:pPr>
      <w:r w:rsidRPr="46C4DE92">
        <w:rPr>
          <w:rFonts w:ascii="Arial" w:eastAsia="Arial" w:hAnsi="Arial" w:cs="Arial"/>
          <w:b/>
          <w:bCs/>
          <w:sz w:val="24"/>
          <w:szCs w:val="24"/>
        </w:rPr>
        <w:t>WID/SID:</w:t>
      </w:r>
      <w:r>
        <w:rPr>
          <w:rFonts w:ascii="Arial" w:hAnsi="Arial" w:cs="Arial"/>
          <w:b/>
          <w:bCs/>
          <w:sz w:val="24"/>
        </w:rPr>
        <w:tab/>
      </w:r>
      <w:r w:rsidR="00610313" w:rsidRPr="46C4DE92">
        <w:rPr>
          <w:rFonts w:ascii="Arial" w:eastAsia="Arial" w:hAnsi="Arial" w:cs="Arial"/>
          <w:b/>
          <w:bCs/>
          <w:sz w:val="24"/>
          <w:szCs w:val="24"/>
        </w:rPr>
        <w:t>FS_NR_unlic – Release 16</w:t>
      </w:r>
    </w:p>
    <w:p w14:paraId="7DF86DB4" w14:textId="77777777" w:rsidR="00CD4C7B" w:rsidRPr="00B266B0" w:rsidRDefault="00CD4C7B" w:rsidP="46C4DE92">
      <w:pPr>
        <w:tabs>
          <w:tab w:val="left" w:pos="1985"/>
        </w:tabs>
        <w:rPr>
          <w:rFonts w:ascii="Arial" w:eastAsia="Arial" w:hAnsi="Arial" w:cs="Arial"/>
          <w:b/>
          <w:bCs/>
          <w:sz w:val="24"/>
          <w:szCs w:val="24"/>
        </w:rPr>
      </w:pPr>
      <w:r w:rsidRPr="46C4DE92">
        <w:rPr>
          <w:rFonts w:ascii="Arial" w:eastAsia="Arial" w:hAnsi="Arial" w:cs="Arial"/>
          <w:b/>
          <w:bCs/>
          <w:sz w:val="24"/>
          <w:szCs w:val="24"/>
        </w:rPr>
        <w:t>Document for:</w:t>
      </w:r>
      <w:r w:rsidRPr="00B266B0">
        <w:rPr>
          <w:rFonts w:ascii="Arial" w:hAnsi="Arial" w:cs="Arial"/>
          <w:b/>
          <w:bCs/>
          <w:sz w:val="24"/>
        </w:rPr>
        <w:tab/>
      </w:r>
      <w:r w:rsidRPr="46C4DE92">
        <w:rPr>
          <w:rFonts w:ascii="Arial" w:eastAsia="Arial" w:hAnsi="Arial" w:cs="Arial"/>
          <w:b/>
          <w:bCs/>
          <w:sz w:val="24"/>
          <w:szCs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ED187B1" w14:textId="549B0427" w:rsidR="00951DFF" w:rsidRDefault="00D667FE" w:rsidP="009A7429">
      <w:pPr>
        <w:jc w:val="both"/>
      </w:pPr>
      <w:r>
        <w:t xml:space="preserve">The impact of LBT on the handling of various transmission counters in MAC specifications and MAC/PHY layer procedures have been discussed </w:t>
      </w:r>
      <w:r w:rsidR="00473C66">
        <w:t>in both RAN1 and RAN2.</w:t>
      </w:r>
    </w:p>
    <w:p w14:paraId="59FB4015" w14:textId="5E752CAD" w:rsidR="009A7429" w:rsidRDefault="009A7429" w:rsidP="00AE1D64">
      <w:pPr>
        <w:jc w:val="both"/>
      </w:pPr>
      <w:r>
        <w:t xml:space="preserve">In RAN2#103 it was concluded that: </w:t>
      </w:r>
    </w:p>
    <w:p w14:paraId="35879262" w14:textId="0343A92D" w:rsidR="00473C66" w:rsidRPr="009A7429" w:rsidRDefault="00473C66" w:rsidP="009A7429">
      <w:pPr>
        <w:pStyle w:val="Agreement"/>
        <w:tabs>
          <w:tab w:val="num" w:pos="1619"/>
        </w:tabs>
        <w:overflowPunct/>
        <w:autoSpaceDE/>
        <w:autoSpaceDN/>
        <w:adjustRightInd/>
        <w:spacing w:before="0"/>
        <w:ind w:left="357" w:hanging="357"/>
        <w:textAlignment w:val="auto"/>
        <w:rPr>
          <w:i/>
          <w:iCs/>
          <w:lang w:eastAsia="ko-KR"/>
        </w:rPr>
      </w:pPr>
      <w:r w:rsidRPr="004A5A47">
        <w:t xml:space="preserve">It is FFS if LBT failure knowledge would be used in MAC (if available), e.g. to decide whether to increments counters </w:t>
      </w:r>
      <w:r w:rsidRPr="004A5A47">
        <w:rPr>
          <w:i/>
          <w:iCs/>
          <w:lang w:val="en-US" w:eastAsia="ko-KR"/>
        </w:rPr>
        <w:t>PREAMBLE_POWER_RAMPING_COUNTER</w:t>
      </w:r>
      <w:r w:rsidRPr="004A5A47">
        <w:rPr>
          <w:lang w:val="en-US" w:eastAsia="zh-CN"/>
        </w:rPr>
        <w:t xml:space="preserve"> </w:t>
      </w:r>
      <w:r w:rsidRPr="004A5A47">
        <w:rPr>
          <w:i/>
          <w:iCs/>
          <w:lang w:eastAsia="ko-KR"/>
        </w:rPr>
        <w:t>PREAMBLE_TRANSMISSION_COUNTER</w:t>
      </w:r>
      <w:r w:rsidRPr="004A5A47">
        <w:rPr>
          <w:iCs/>
          <w:lang w:eastAsia="ko-KR"/>
        </w:rPr>
        <w:t>, or start stop of timers</w:t>
      </w:r>
      <w:r w:rsidRPr="004A5A47">
        <w:rPr>
          <w:i/>
          <w:iCs/>
          <w:lang w:eastAsia="ko-KR"/>
        </w:rPr>
        <w:t>.</w:t>
      </w:r>
    </w:p>
    <w:p w14:paraId="7D4C246B" w14:textId="3B8C034B" w:rsidR="009A7429" w:rsidRDefault="009A7429" w:rsidP="009A7429">
      <w:pPr>
        <w:jc w:val="both"/>
      </w:pPr>
      <w:r>
        <w:t>In RAN1#94 the following was agreed:</w:t>
      </w:r>
    </w:p>
    <w:tbl>
      <w:tblPr>
        <w:tblStyle w:val="TableGrid"/>
        <w:tblW w:w="0" w:type="auto"/>
        <w:tblLook w:val="04A0" w:firstRow="1" w:lastRow="0" w:firstColumn="1" w:lastColumn="0" w:noHBand="0" w:noVBand="1"/>
      </w:tblPr>
      <w:tblGrid>
        <w:gridCol w:w="9629"/>
      </w:tblGrid>
      <w:tr w:rsidR="009A7429" w14:paraId="7CA7DBDF" w14:textId="77777777" w:rsidTr="0081048F">
        <w:tc>
          <w:tcPr>
            <w:tcW w:w="9629" w:type="dxa"/>
          </w:tcPr>
          <w:p w14:paraId="22426938" w14:textId="77777777" w:rsidR="009A7429" w:rsidRPr="00875521" w:rsidRDefault="009A7429" w:rsidP="009A7429">
            <w:pPr>
              <w:ind w:left="720" w:hanging="720"/>
              <w:rPr>
                <w:lang w:eastAsia="x-none"/>
              </w:rPr>
            </w:pPr>
            <w:r w:rsidRPr="00875521">
              <w:rPr>
                <w:highlight w:val="green"/>
                <w:lang w:eastAsia="x-none"/>
              </w:rPr>
              <w:t>Agreement:</w:t>
            </w:r>
            <w:r w:rsidRPr="00875521">
              <w:rPr>
                <w:lang w:eastAsia="x-none"/>
              </w:rPr>
              <w:t xml:space="preserve"> </w:t>
            </w:r>
          </w:p>
          <w:p w14:paraId="68CB53AC" w14:textId="77777777" w:rsidR="009A7429" w:rsidRPr="00875521" w:rsidRDefault="009A7429" w:rsidP="009A7429">
            <w:pPr>
              <w:ind w:left="720" w:hanging="720"/>
              <w:rPr>
                <w:lang w:eastAsia="x-none"/>
              </w:rPr>
            </w:pPr>
            <w:r w:rsidRPr="00875521">
              <w:rPr>
                <w:lang w:eastAsia="x-none"/>
              </w:rPr>
              <w:t>If preamble transmissions are dropped due to LBT failure, then</w:t>
            </w:r>
          </w:p>
          <w:p w14:paraId="581E1AB8" w14:textId="77777777" w:rsidR="009A7429" w:rsidRDefault="009A7429" w:rsidP="009A7429">
            <w:pPr>
              <w:numPr>
                <w:ilvl w:val="0"/>
                <w:numId w:val="29"/>
              </w:numPr>
              <w:spacing w:after="0"/>
              <w:rPr>
                <w:lang w:eastAsia="x-none"/>
              </w:rPr>
            </w:pPr>
            <w:r w:rsidRPr="00875521">
              <w:rPr>
                <w:lang w:eastAsia="x-none"/>
              </w:rPr>
              <w:t>From a RAN1 perspective, it is recommended that preamble power ramping is not performed and that the preamble transmission counter is not incremented</w:t>
            </w:r>
          </w:p>
          <w:p w14:paraId="4371B7E0" w14:textId="51B64266" w:rsidR="009A7429" w:rsidRPr="009A7429" w:rsidRDefault="009A7429" w:rsidP="009A7429">
            <w:pPr>
              <w:spacing w:after="0"/>
              <w:ind w:left="360"/>
              <w:rPr>
                <w:lang w:eastAsia="x-none"/>
              </w:rPr>
            </w:pPr>
          </w:p>
        </w:tc>
      </w:tr>
    </w:tbl>
    <w:p w14:paraId="5BD931A2" w14:textId="7F5ED610" w:rsidR="00473C66" w:rsidRPr="00473C66" w:rsidRDefault="00300897" w:rsidP="00300897">
      <w:pPr>
        <w:spacing w:before="180"/>
        <w:jc w:val="both"/>
        <w:rPr>
          <w:lang w:val="en-US"/>
        </w:rPr>
      </w:pPr>
      <w:r>
        <w:rPr>
          <w:lang w:val="en-US"/>
        </w:rPr>
        <w:t>I</w:t>
      </w:r>
      <w:r w:rsidR="004C3D1A">
        <w:rPr>
          <w:lang w:val="en-US"/>
        </w:rPr>
        <w:t xml:space="preserve">n this contribution, </w:t>
      </w:r>
      <w:r>
        <w:rPr>
          <w:lang w:val="en-US"/>
        </w:rPr>
        <w:t xml:space="preserve">we discuss the impact of LBT on RA and SR procedures. </w:t>
      </w:r>
    </w:p>
    <w:p w14:paraId="54885A9D" w14:textId="0ADD8939" w:rsidR="00967E0A" w:rsidRPr="006E13D1" w:rsidRDefault="00967E0A" w:rsidP="00967E0A">
      <w:pPr>
        <w:pStyle w:val="Heading1"/>
      </w:pPr>
      <w:r>
        <w:t>2</w:t>
      </w:r>
      <w:r>
        <w:tab/>
        <w:t xml:space="preserve">RA procedure </w:t>
      </w:r>
    </w:p>
    <w:p w14:paraId="444840C0" w14:textId="7DE264CF" w:rsidR="004C3D1A" w:rsidRDefault="004C3D1A" w:rsidP="004C3D1A">
      <w:pPr>
        <w:jc w:val="both"/>
      </w:pPr>
      <w:r>
        <w:t xml:space="preserve">The power ramping for operation in small cells might not be as important as for macro cells, but it is still important that the UE transmit power for random access preamble is only increased whenever the UE actually transmitted a </w:t>
      </w:r>
      <w:r w:rsidR="00354FDA">
        <w:t xml:space="preserve">RA </w:t>
      </w:r>
      <w:r>
        <w:t>preamble. Hence, in accordance with the RAN1 recommendation, we suggest that the power ramping procedure for random access preamble transmission should only be applied for cases where the UE actually transmits the preamble.</w:t>
      </w:r>
    </w:p>
    <w:p w14:paraId="22E8D314" w14:textId="61FEBF1E" w:rsidR="004C3D1A" w:rsidRPr="00EF662B" w:rsidRDefault="004C3D1A" w:rsidP="004C3D1A">
      <w:pPr>
        <w:jc w:val="both"/>
        <w:rPr>
          <w:b/>
          <w:bCs/>
        </w:rPr>
      </w:pPr>
      <w:r w:rsidRPr="004E3DB8">
        <w:rPr>
          <w:b/>
          <w:bCs/>
        </w:rPr>
        <w:t xml:space="preserve">Proposal </w:t>
      </w:r>
      <w:r>
        <w:rPr>
          <w:b/>
          <w:bCs/>
        </w:rPr>
        <w:t>1</w:t>
      </w:r>
      <w:r w:rsidRPr="004E3DB8">
        <w:rPr>
          <w:b/>
          <w:bCs/>
        </w:rPr>
        <w:t>: Make power ramping for random access preamble conditional on successful LBT for msg1</w:t>
      </w:r>
      <w:r>
        <w:rPr>
          <w:b/>
          <w:bCs/>
        </w:rPr>
        <w:t xml:space="preserve">/msgA. </w:t>
      </w:r>
    </w:p>
    <w:p w14:paraId="0689DF71" w14:textId="5AE1E0DC" w:rsidR="004C3D1A" w:rsidRPr="00354FDA" w:rsidRDefault="004C3D1A" w:rsidP="00767390">
      <w:pPr>
        <w:jc w:val="both"/>
      </w:pPr>
      <w:r>
        <w:t xml:space="preserve">In case of LBT failure, if the preamble transmission counter is not increased as recommended by RAN1 this may result in the </w:t>
      </w:r>
      <w:r w:rsidRPr="004A5A47">
        <w:rPr>
          <w:i/>
          <w:iCs/>
          <w:lang w:eastAsia="ko-KR"/>
        </w:rPr>
        <w:t>PREAMBLE_TRANSMISSION_COUNTER</w:t>
      </w:r>
      <w:r>
        <w:rPr>
          <w:i/>
          <w:iCs/>
          <w:lang w:eastAsia="ko-KR"/>
        </w:rPr>
        <w:t xml:space="preserve"> </w:t>
      </w:r>
      <w:r w:rsidRPr="004C3D1A">
        <w:rPr>
          <w:iCs/>
          <w:lang w:eastAsia="ko-KR"/>
        </w:rPr>
        <w:t>never</w:t>
      </w:r>
      <w:r>
        <w:rPr>
          <w:i/>
          <w:iCs/>
          <w:lang w:eastAsia="ko-KR"/>
        </w:rPr>
        <w:t xml:space="preserve"> </w:t>
      </w:r>
      <w:r>
        <w:rPr>
          <w:iCs/>
          <w:lang w:eastAsia="ko-KR"/>
        </w:rPr>
        <w:t xml:space="preserve">reaching </w:t>
      </w:r>
      <w:r w:rsidR="00354FDA">
        <w:rPr>
          <w:iCs/>
          <w:lang w:eastAsia="ko-KR"/>
        </w:rPr>
        <w:t xml:space="preserve">its maximum allowed value </w:t>
      </w:r>
      <w:r w:rsidR="00354FDA" w:rsidRPr="00805866">
        <w:rPr>
          <w:i/>
          <w:lang w:eastAsia="ko-KR"/>
        </w:rPr>
        <w:t>preambleTransMax</w:t>
      </w:r>
      <w:r w:rsidR="00354FDA">
        <w:rPr>
          <w:i/>
          <w:lang w:eastAsia="ko-KR"/>
        </w:rPr>
        <w:t xml:space="preserve"> </w:t>
      </w:r>
      <w:r w:rsidR="00354FDA">
        <w:rPr>
          <w:lang w:eastAsia="ko-KR"/>
        </w:rPr>
        <w:t xml:space="preserve">in case of systematic UL LBT failures. This may introduce uncertainty in UE behaviour and possibly cause unnecessary delays in triggering of RLF at upper layers. </w:t>
      </w:r>
    </w:p>
    <w:p w14:paraId="26C2EA01" w14:textId="3A8FE839" w:rsidR="004C3D1A" w:rsidRPr="00354FDA" w:rsidRDefault="00354FDA" w:rsidP="00767390">
      <w:pPr>
        <w:jc w:val="both"/>
        <w:rPr>
          <w:b/>
        </w:rPr>
      </w:pPr>
      <w:r w:rsidRPr="00354FDA">
        <w:rPr>
          <w:b/>
          <w:bCs/>
        </w:rPr>
        <w:t xml:space="preserve">Proposal 2: RAN2 should discuss whether </w:t>
      </w:r>
      <w:r w:rsidRPr="00354FDA">
        <w:rPr>
          <w:b/>
          <w:i/>
          <w:iCs/>
          <w:lang w:eastAsia="ko-KR"/>
        </w:rPr>
        <w:t>PREAMBLE_TRANSMISSION_COUNTER</w:t>
      </w:r>
      <w:r w:rsidRPr="00354FDA">
        <w:rPr>
          <w:b/>
          <w:iCs/>
          <w:lang w:eastAsia="ko-KR"/>
        </w:rPr>
        <w:t xml:space="preserve"> should always be increased independently on the outcome of LBT procedure for the transmission of msg1/msgA – or an alternative mechanism is need</w:t>
      </w:r>
      <w:r>
        <w:rPr>
          <w:b/>
          <w:iCs/>
          <w:lang w:eastAsia="ko-KR"/>
        </w:rPr>
        <w:t>ed</w:t>
      </w:r>
      <w:r w:rsidRPr="00354FDA">
        <w:rPr>
          <w:b/>
          <w:iCs/>
          <w:lang w:eastAsia="ko-KR"/>
        </w:rPr>
        <w:t xml:space="preserve"> to handle potentially systematic UL LBT failures</w:t>
      </w:r>
      <w:r>
        <w:rPr>
          <w:b/>
          <w:iCs/>
          <w:lang w:eastAsia="ko-KR"/>
        </w:rPr>
        <w:t xml:space="preserve"> </w:t>
      </w:r>
      <w:r w:rsidRPr="00354FDA">
        <w:rPr>
          <w:b/>
          <w:iCs/>
          <w:lang w:eastAsia="ko-KR"/>
        </w:rPr>
        <w:t xml:space="preserve">during </w:t>
      </w:r>
      <w:r>
        <w:rPr>
          <w:b/>
          <w:iCs/>
          <w:lang w:eastAsia="ko-KR"/>
        </w:rPr>
        <w:t xml:space="preserve">the </w:t>
      </w:r>
      <w:r w:rsidRPr="00354FDA">
        <w:rPr>
          <w:b/>
          <w:iCs/>
          <w:lang w:eastAsia="ko-KR"/>
        </w:rPr>
        <w:t xml:space="preserve">RA procedure. </w:t>
      </w:r>
    </w:p>
    <w:p w14:paraId="066FC482" w14:textId="1971CD97" w:rsidR="002760F7" w:rsidRPr="006E13D1" w:rsidRDefault="00CD2127" w:rsidP="002760F7">
      <w:pPr>
        <w:pStyle w:val="Heading1"/>
      </w:pPr>
      <w:r>
        <w:t>2</w:t>
      </w:r>
      <w:r>
        <w:tab/>
      </w:r>
      <w:r w:rsidR="00300897">
        <w:t xml:space="preserve">SR procedure </w:t>
      </w:r>
    </w:p>
    <w:p w14:paraId="216CD413" w14:textId="77777777" w:rsidR="00300897" w:rsidRDefault="00300897" w:rsidP="00300897">
      <w:pPr>
        <w:jc w:val="both"/>
        <w:rPr>
          <w:lang w:val="en-US"/>
        </w:rPr>
      </w:pPr>
      <w:r>
        <w:rPr>
          <w:lang w:val="en-US"/>
        </w:rPr>
        <w:t xml:space="preserve">LAA does not support transmission of scheduling requests (SRs) in unlicensed spectrum. Physical SR resources can only be configurable in licensed spectrum. Therefore, SR procedure in MAC is not impacted by LBT. However, NR-U also supports DC and SA deployment scenarios. Therefore, SR transmission in unlicensed spectrum also needs to be supported. </w:t>
      </w:r>
      <w:r>
        <w:rPr>
          <w:lang w:val="en-US" w:eastAsia="x-none"/>
        </w:rPr>
        <w:lastRenderedPageBreak/>
        <w:t xml:space="preserve">In </w:t>
      </w:r>
      <w:r>
        <w:rPr>
          <w:lang w:val="en-US"/>
        </w:rPr>
        <w:t>RAN2</w:t>
      </w:r>
      <w:r>
        <w:rPr>
          <w:bCs/>
          <w:lang w:val="en-US"/>
        </w:rPr>
        <w:t>#</w:t>
      </w:r>
      <w:r>
        <w:rPr>
          <w:bCs/>
          <w:lang w:val="en-US" w:eastAsia="zh-CN"/>
        </w:rPr>
        <w:t>AH-1807</w:t>
      </w:r>
      <w:r>
        <w:rPr>
          <w:lang w:val="en-US"/>
        </w:rPr>
        <w:t>, there were some discussions related to the Scheduling Request procedure in NR-U [1]. However, due to divergent views, no agreement was achieved during such discussions.</w:t>
      </w:r>
    </w:p>
    <w:p w14:paraId="2A27E460" w14:textId="1AC2A6C5" w:rsidR="00300897" w:rsidRDefault="00300897" w:rsidP="00300897">
      <w:pPr>
        <w:pStyle w:val="Heading2"/>
        <w:rPr>
          <w:lang w:val="en-US"/>
        </w:rPr>
      </w:pPr>
      <w:r>
        <w:rPr>
          <w:lang w:val="en-US"/>
        </w:rPr>
        <w:t>2.1</w:t>
      </w:r>
      <w:r>
        <w:rPr>
          <w:lang w:val="en-US"/>
        </w:rPr>
        <w:tab/>
        <w:t xml:space="preserve">SR prohibit timer </w:t>
      </w:r>
    </w:p>
    <w:p w14:paraId="11AE6266" w14:textId="1209319E" w:rsidR="00300897" w:rsidRDefault="00300897" w:rsidP="00300897">
      <w:pPr>
        <w:jc w:val="both"/>
        <w:textAlignment w:val="center"/>
        <w:rPr>
          <w:iCs/>
          <w:lang w:val="en-US"/>
        </w:rPr>
      </w:pPr>
      <w:r>
        <w:rPr>
          <w:iCs/>
          <w:lang w:val="en-US"/>
        </w:rPr>
        <w:t xml:space="preserve">According to [2], the SR prohibit timer is started when the physical layer is instructed </w:t>
      </w:r>
      <w:r>
        <w:rPr>
          <w:noProof/>
          <w:lang w:val="en-US"/>
        </w:rPr>
        <w:t>to signal the SR on one valid PUCCH resource for SR</w:t>
      </w:r>
      <w:r>
        <w:rPr>
          <w:iCs/>
          <w:lang w:val="en-US"/>
        </w:rPr>
        <w:t xml:space="preserve">. After that, the MAC will not instruct the physical layer to signal a SR if the prohibit timer is running. The prohibit timer is stopped when the MAC PDU that triggered the SR transmission is transmitted – the exact definition can be found in section 5.4.4 of [2]. </w:t>
      </w:r>
    </w:p>
    <w:p w14:paraId="6A01A178" w14:textId="6C838A7F" w:rsidR="00300897" w:rsidRDefault="00300897" w:rsidP="00300897">
      <w:pPr>
        <w:jc w:val="both"/>
        <w:textAlignment w:val="center"/>
        <w:rPr>
          <w:iCs/>
          <w:lang w:val="en-US"/>
        </w:rPr>
      </w:pPr>
      <w:r>
        <w:rPr>
          <w:iCs/>
          <w:lang w:val="en-US"/>
        </w:rPr>
        <w:t xml:space="preserve">If NR specifications are not changed to </w:t>
      </w:r>
      <w:r w:rsidR="00BF3E26">
        <w:rPr>
          <w:iCs/>
          <w:lang w:val="en-US"/>
        </w:rPr>
        <w:t>consider</w:t>
      </w:r>
      <w:r>
        <w:rPr>
          <w:iCs/>
          <w:lang w:val="en-US"/>
        </w:rPr>
        <w:t xml:space="preserve"> the impact of LBT in unlicensed spectrum, the prohibit timer will be started when PHY is instructed to transmit the SR on PUCCH resources. But if the SR is not transmitted because of LBT failure, then UE will not to trigger a new SR transmission long as the prohibit timer is running. I.e., the gNB will not </w:t>
      </w:r>
      <w:r w:rsidRPr="00300897">
        <w:rPr>
          <w:iCs/>
          <w:color w:val="000000" w:themeColor="text1"/>
          <w:lang w:val="en-US"/>
        </w:rPr>
        <w:t xml:space="preserve">receive ant SR at least for the duration of the prohibit </w:t>
      </w:r>
      <w:r>
        <w:rPr>
          <w:iCs/>
          <w:lang w:val="en-US"/>
        </w:rPr>
        <w:t>timer. According to our understanding this is not the wanted behavior with the SR prohibit timer. The SR prohibit timer was introduced to avoid unnecessary transmissions of SRs while accounting for the gNB response time.</w:t>
      </w:r>
    </w:p>
    <w:p w14:paraId="12AC3D1A" w14:textId="65D7DA89" w:rsidR="00BF3E26" w:rsidRDefault="00354FDA" w:rsidP="00BF3E26">
      <w:pPr>
        <w:jc w:val="both"/>
        <w:rPr>
          <w:b/>
          <w:color w:val="000000"/>
          <w:lang w:val="en-US"/>
        </w:rPr>
      </w:pPr>
      <w:r>
        <w:rPr>
          <w:b/>
          <w:lang w:val="en-US"/>
        </w:rPr>
        <w:t>Proposal 3</w:t>
      </w:r>
      <w:r w:rsidR="00BF3E26">
        <w:rPr>
          <w:b/>
          <w:lang w:val="en-US"/>
        </w:rPr>
        <w:t xml:space="preserve">: when SR resources are configured in unlicensed spectrum, </w:t>
      </w:r>
      <w:r w:rsidR="00BF3E26">
        <w:rPr>
          <w:b/>
          <w:color w:val="000000"/>
          <w:lang w:val="en-US"/>
        </w:rPr>
        <w:t>the SR prohibit timer is only started upon a successful transmission of the SR on the physical layer (i.e. conditionally based on successful LBT in uplink).</w:t>
      </w:r>
    </w:p>
    <w:p w14:paraId="0D652878" w14:textId="2106FEBF" w:rsidR="00BF3E26" w:rsidRDefault="00BF3E26" w:rsidP="00BF3E26">
      <w:pPr>
        <w:pStyle w:val="Heading3"/>
        <w:rPr>
          <w:lang w:val="en-US"/>
        </w:rPr>
      </w:pPr>
      <w:r>
        <w:rPr>
          <w:lang w:val="en-US"/>
        </w:rPr>
        <w:t>2.2</w:t>
      </w:r>
      <w:r>
        <w:rPr>
          <w:lang w:val="en-US"/>
        </w:rPr>
        <w:tab/>
        <w:t>SR transmission counter</w:t>
      </w:r>
    </w:p>
    <w:p w14:paraId="5A38B40A" w14:textId="77777777" w:rsidR="003033EA" w:rsidRDefault="003033EA" w:rsidP="003033EA">
      <w:pPr>
        <w:spacing w:after="0"/>
        <w:jc w:val="both"/>
        <w:textAlignment w:val="center"/>
        <w:rPr>
          <w:iCs/>
          <w:lang w:val="en-US"/>
        </w:rPr>
      </w:pPr>
      <w:r>
        <w:rPr>
          <w:iCs/>
          <w:lang w:val="en-US"/>
        </w:rPr>
        <w:t xml:space="preserve">According to [2], if the SR counter reaches its maximum value </w:t>
      </w:r>
      <w:r>
        <w:rPr>
          <w:i/>
          <w:iCs/>
          <w:lang w:val="en-US"/>
        </w:rPr>
        <w:t>sr-TransMax</w:t>
      </w:r>
      <w:r>
        <w:rPr>
          <w:iCs/>
          <w:lang w:val="en-US"/>
        </w:rPr>
        <w:t xml:space="preserve">, the following actions are undertaken by the UE: </w:t>
      </w:r>
    </w:p>
    <w:p w14:paraId="4C5FCD48" w14:textId="77777777" w:rsidR="003033EA" w:rsidRDefault="003033EA" w:rsidP="003033EA">
      <w:pPr>
        <w:pStyle w:val="B4"/>
        <w:spacing w:before="180"/>
        <w:ind w:left="851"/>
        <w:jc w:val="both"/>
        <w:rPr>
          <w:noProof/>
          <w:lang w:val="en-US"/>
        </w:rPr>
      </w:pPr>
      <w:r>
        <w:rPr>
          <w:noProof/>
          <w:lang w:val="en-US"/>
        </w:rPr>
        <w:t>&gt;</w:t>
      </w:r>
      <w:r>
        <w:rPr>
          <w:noProof/>
          <w:lang w:val="en-US"/>
        </w:rPr>
        <w:tab/>
        <w:t>notify RRC to release PUCCH for all Serving Cells;</w:t>
      </w:r>
    </w:p>
    <w:p w14:paraId="12532158" w14:textId="77777777" w:rsidR="003033EA" w:rsidRDefault="003033EA" w:rsidP="003033EA">
      <w:pPr>
        <w:pStyle w:val="B4"/>
        <w:ind w:left="852"/>
        <w:jc w:val="both"/>
        <w:rPr>
          <w:noProof/>
          <w:lang w:val="en-US"/>
        </w:rPr>
      </w:pPr>
      <w:r>
        <w:rPr>
          <w:noProof/>
          <w:lang w:val="en-US" w:eastAsia="ko-KR"/>
        </w:rPr>
        <w:t>&gt;</w:t>
      </w:r>
      <w:r>
        <w:rPr>
          <w:noProof/>
          <w:lang w:val="en-US"/>
        </w:rPr>
        <w:tab/>
        <w:t>notify RRC to release SRS for all Serving Cells;</w:t>
      </w:r>
    </w:p>
    <w:p w14:paraId="1A32ECCF" w14:textId="77777777" w:rsidR="003033EA" w:rsidRDefault="003033EA" w:rsidP="003033EA">
      <w:pPr>
        <w:pStyle w:val="B4"/>
        <w:ind w:left="852"/>
        <w:jc w:val="both"/>
        <w:rPr>
          <w:noProof/>
          <w:lang w:val="en-US"/>
        </w:rPr>
      </w:pPr>
      <w:r>
        <w:rPr>
          <w:noProof/>
          <w:lang w:val="en-US" w:eastAsia="ko-KR"/>
        </w:rPr>
        <w:t>&gt;</w:t>
      </w:r>
      <w:r>
        <w:rPr>
          <w:noProof/>
          <w:lang w:val="en-US"/>
        </w:rPr>
        <w:tab/>
      </w:r>
      <w:r>
        <w:rPr>
          <w:noProof/>
          <w:lang w:val="en-US" w:eastAsia="ko-KR"/>
        </w:rPr>
        <w:t>clear</w:t>
      </w:r>
      <w:r>
        <w:rPr>
          <w:noProof/>
          <w:lang w:val="en-US"/>
        </w:rPr>
        <w:t xml:space="preserve"> any configured downlink assignments and uplink grants;</w:t>
      </w:r>
    </w:p>
    <w:p w14:paraId="2EB391C0" w14:textId="77777777" w:rsidR="003033EA" w:rsidRDefault="003033EA" w:rsidP="003033EA">
      <w:pPr>
        <w:pStyle w:val="B4"/>
        <w:ind w:left="852"/>
        <w:jc w:val="both"/>
        <w:rPr>
          <w:noProof/>
          <w:lang w:val="en-US"/>
        </w:rPr>
      </w:pPr>
      <w:r>
        <w:rPr>
          <w:noProof/>
          <w:lang w:val="en-US" w:eastAsia="ko-KR"/>
        </w:rPr>
        <w:t>&gt;</w:t>
      </w:r>
      <w:r>
        <w:rPr>
          <w:noProof/>
          <w:lang w:val="en-US"/>
        </w:rPr>
        <w:tab/>
        <w:t>initiate a Random Access procedure on the SpCell and cancel all pending SRs</w:t>
      </w:r>
    </w:p>
    <w:p w14:paraId="39EB3057" w14:textId="77777777" w:rsidR="003033EA" w:rsidRDefault="003033EA" w:rsidP="003033EA">
      <w:pPr>
        <w:jc w:val="both"/>
        <w:textAlignment w:val="center"/>
        <w:rPr>
          <w:iCs/>
          <w:lang w:val="en-US"/>
        </w:rPr>
      </w:pPr>
      <w:r>
        <w:rPr>
          <w:iCs/>
          <w:lang w:val="en-US"/>
        </w:rPr>
        <w:t xml:space="preserve">This basically corresponds to a physical layer reconfiguration. In our view, </w:t>
      </w:r>
      <w:bookmarkStart w:id="0" w:name="_Hlk521598617"/>
      <w:r>
        <w:rPr>
          <w:iCs/>
          <w:lang w:val="en-US"/>
        </w:rPr>
        <w:t>the event of an SR transmission being blocked due to LBT failure should not cause an unnecessary release of the physical layer configuration</w:t>
      </w:r>
      <w:bookmarkEnd w:id="0"/>
      <w:r>
        <w:rPr>
          <w:iCs/>
          <w:lang w:val="en-US"/>
        </w:rPr>
        <w:t xml:space="preserve">. </w:t>
      </w:r>
    </w:p>
    <w:p w14:paraId="0EAA5F49" w14:textId="7302B3BA" w:rsidR="003033EA" w:rsidRDefault="003033EA" w:rsidP="003033EA">
      <w:pPr>
        <w:jc w:val="both"/>
        <w:textAlignment w:val="center"/>
        <w:rPr>
          <w:iCs/>
          <w:lang w:val="en-US"/>
        </w:rPr>
      </w:pPr>
      <w:r>
        <w:rPr>
          <w:iCs/>
          <w:lang w:val="en-US"/>
        </w:rPr>
        <w:t xml:space="preserve">On the other hand, if the increase of the SR counter is conditional on successful LBT, this may cause the SR counter (in principle) to never reach its maximum value in case LBT systematically fails. This is like the problem observed for the RA preamble transmission counter in RA procedure. However, this may be less of a problem as </w:t>
      </w:r>
      <w:r>
        <w:rPr>
          <w:lang w:val="en-US"/>
        </w:rPr>
        <w:t>the gNB may have other means to detect that UL transmission is repeatedly blocked by LBT (e.g. the UE will not be able to transmit HARQ A/N feedback for DL transmissions, CSI, SRS, etc.)</w:t>
      </w:r>
      <w:r>
        <w:rPr>
          <w:iCs/>
          <w:lang w:val="en-US"/>
        </w:rPr>
        <w:t xml:space="preserve">. </w:t>
      </w:r>
    </w:p>
    <w:p w14:paraId="391639A7" w14:textId="77777777" w:rsidR="003033EA" w:rsidRDefault="003033EA" w:rsidP="003033EA">
      <w:pPr>
        <w:jc w:val="both"/>
        <w:rPr>
          <w:b/>
          <w:iCs/>
          <w:lang w:val="en-US"/>
        </w:rPr>
      </w:pPr>
      <w:r>
        <w:rPr>
          <w:b/>
          <w:lang w:val="en-US"/>
        </w:rPr>
        <w:t xml:space="preserve">Observation 1: </w:t>
      </w:r>
      <w:r>
        <w:rPr>
          <w:b/>
          <w:color w:val="000000"/>
          <w:lang w:val="en-US"/>
        </w:rPr>
        <w:t xml:space="preserve"> if the SR counter is increased also in </w:t>
      </w:r>
      <w:r>
        <w:rPr>
          <w:b/>
          <w:iCs/>
          <w:lang w:val="en-US"/>
        </w:rPr>
        <w:t>the event of an SR transmission being blocked by LBT, this may result in an unnecessary release of the physical layer configuration.</w:t>
      </w:r>
    </w:p>
    <w:p w14:paraId="6E47821C" w14:textId="5E468A16" w:rsidR="003033EA" w:rsidRPr="00A961CA" w:rsidRDefault="003033EA" w:rsidP="00A961CA">
      <w:pPr>
        <w:jc w:val="both"/>
        <w:rPr>
          <w:b/>
          <w:color w:val="000000"/>
          <w:lang w:val="en-US"/>
        </w:rPr>
      </w:pPr>
      <w:r>
        <w:rPr>
          <w:b/>
          <w:lang w:val="en-US"/>
        </w:rPr>
        <w:t xml:space="preserve">Observation 2: </w:t>
      </w:r>
      <w:r>
        <w:rPr>
          <w:b/>
          <w:color w:val="000000"/>
          <w:lang w:val="en-US"/>
        </w:rPr>
        <w:t xml:space="preserve">if the SR counter is NOT increased in </w:t>
      </w:r>
      <w:r>
        <w:rPr>
          <w:b/>
          <w:iCs/>
          <w:lang w:val="en-US"/>
        </w:rPr>
        <w:t>the event of an SR transmission being blocked by LBT, this may result in a longer delay in declaring RLF due to excessive LBT blocking in UL.</w:t>
      </w:r>
    </w:p>
    <w:p w14:paraId="0D248F8F" w14:textId="3F1E2D64" w:rsidR="00A961CA" w:rsidRDefault="003033EA" w:rsidP="00A961CA">
      <w:pPr>
        <w:jc w:val="both"/>
        <w:rPr>
          <w:b/>
          <w:lang w:val="en-US"/>
        </w:rPr>
      </w:pPr>
      <w:r>
        <w:rPr>
          <w:b/>
          <w:lang w:val="en-US"/>
        </w:rPr>
        <w:t xml:space="preserve">Proposal </w:t>
      </w:r>
      <w:r w:rsidR="00354FDA">
        <w:rPr>
          <w:b/>
          <w:lang w:val="en-US"/>
        </w:rPr>
        <w:t>4</w:t>
      </w:r>
      <w:r>
        <w:rPr>
          <w:b/>
          <w:lang w:val="en-US"/>
        </w:rPr>
        <w:t xml:space="preserve">: Study whether the SR counter </w:t>
      </w:r>
      <w:r w:rsidR="00A961CA">
        <w:rPr>
          <w:b/>
          <w:lang w:val="en-US"/>
        </w:rPr>
        <w:t xml:space="preserve">should </w:t>
      </w:r>
      <w:r>
        <w:rPr>
          <w:b/>
          <w:lang w:val="en-US"/>
        </w:rPr>
        <w:t xml:space="preserve">only </w:t>
      </w:r>
      <w:r w:rsidR="00A961CA">
        <w:rPr>
          <w:b/>
          <w:lang w:val="en-US"/>
        </w:rPr>
        <w:t xml:space="preserve">be </w:t>
      </w:r>
      <w:r>
        <w:rPr>
          <w:b/>
          <w:lang w:val="en-US"/>
        </w:rPr>
        <w:t>increased upon a successful transmission of the SR on the physical layer (i.e. conditionally based on successful LBT in uplink) when SR resources are configured in unlicensed spectrum.</w:t>
      </w:r>
    </w:p>
    <w:p w14:paraId="4499B8E5" w14:textId="77777777" w:rsidR="00A961CA" w:rsidRDefault="00A961CA" w:rsidP="00A961CA">
      <w:pPr>
        <w:jc w:val="both"/>
        <w:rPr>
          <w:lang w:val="en-US"/>
        </w:rPr>
      </w:pPr>
      <w:r w:rsidRPr="003033EA">
        <w:rPr>
          <w:lang w:val="en-US"/>
        </w:rPr>
        <w:t xml:space="preserve">The </w:t>
      </w:r>
      <w:r>
        <w:rPr>
          <w:lang w:val="en-US"/>
        </w:rPr>
        <w:t xml:space="preserve">potential problem of systematic and undetected (at the gNB) UL LBT failures may generally apply to any UE-initiated uplink transmission - e.g. UL configured grant transmissions. </w:t>
      </w:r>
    </w:p>
    <w:p w14:paraId="532C5A6A" w14:textId="2D2AE2A9" w:rsidR="00A961CA" w:rsidRPr="00A961CA" w:rsidRDefault="00A961CA" w:rsidP="00A961CA">
      <w:pPr>
        <w:jc w:val="both"/>
        <w:rPr>
          <w:b/>
          <w:lang w:val="en-US"/>
        </w:rPr>
      </w:pPr>
      <w:r>
        <w:rPr>
          <w:b/>
          <w:lang w:val="en-US"/>
        </w:rPr>
        <w:t xml:space="preserve">Proposal </w:t>
      </w:r>
      <w:r w:rsidR="00354FDA">
        <w:rPr>
          <w:b/>
          <w:lang w:val="en-US"/>
        </w:rPr>
        <w:t>5</w:t>
      </w:r>
      <w:r>
        <w:rPr>
          <w:b/>
          <w:lang w:val="en-US"/>
        </w:rPr>
        <w:t xml:space="preserve">: </w:t>
      </w:r>
      <w:r w:rsidR="0087309B">
        <w:rPr>
          <w:b/>
          <w:lang w:val="en-US"/>
        </w:rPr>
        <w:t xml:space="preserve">RAN2 should discuss </w:t>
      </w:r>
      <w:r w:rsidRPr="00A961CA">
        <w:rPr>
          <w:b/>
          <w:lang w:val="en-US"/>
        </w:rPr>
        <w:t xml:space="preserve">whether </w:t>
      </w:r>
      <w:r w:rsidR="0087309B">
        <w:rPr>
          <w:b/>
          <w:lang w:val="en-US"/>
        </w:rPr>
        <w:t xml:space="preserve">to introduce </w:t>
      </w:r>
      <w:r w:rsidRPr="00A961CA">
        <w:rPr>
          <w:b/>
          <w:lang w:val="en-US"/>
        </w:rPr>
        <w:t>a specific mechanism to trigger RLF in case of systematic UL LBT failure</w:t>
      </w:r>
      <w:r w:rsidR="0087309B">
        <w:rPr>
          <w:b/>
          <w:lang w:val="en-US"/>
        </w:rPr>
        <w:t>s</w:t>
      </w:r>
      <w:r w:rsidRPr="00A961CA">
        <w:rPr>
          <w:b/>
          <w:lang w:val="en-US"/>
        </w:rPr>
        <w:t xml:space="preserve"> </w:t>
      </w:r>
      <w:r w:rsidR="0087309B">
        <w:rPr>
          <w:b/>
          <w:lang w:val="en-US"/>
        </w:rPr>
        <w:t xml:space="preserve">happens </w:t>
      </w:r>
      <w:r w:rsidRPr="00A961CA">
        <w:rPr>
          <w:b/>
          <w:lang w:val="en-US"/>
        </w:rPr>
        <w:t xml:space="preserve">in correspondence of UE-initiated </w:t>
      </w:r>
      <w:r w:rsidR="0087309B">
        <w:rPr>
          <w:b/>
          <w:lang w:val="en-US"/>
        </w:rPr>
        <w:t>UL</w:t>
      </w:r>
      <w:r>
        <w:rPr>
          <w:b/>
          <w:lang w:val="en-US"/>
        </w:rPr>
        <w:t xml:space="preserve"> transmissions (e.g</w:t>
      </w:r>
      <w:r w:rsidR="0087309B">
        <w:rPr>
          <w:b/>
          <w:lang w:val="en-US"/>
        </w:rPr>
        <w:t>. SR, UL configured grants</w:t>
      </w:r>
      <w:r>
        <w:rPr>
          <w:b/>
          <w:lang w:val="en-US"/>
        </w:rPr>
        <w:t xml:space="preserve">). </w:t>
      </w:r>
    </w:p>
    <w:p w14:paraId="43A12B72" w14:textId="357EB140" w:rsidR="00CD4C7B" w:rsidRPr="006E13D1" w:rsidRDefault="008C3E05" w:rsidP="00FC44B5">
      <w:pPr>
        <w:pStyle w:val="Heading1"/>
        <w:pBdr>
          <w:top w:val="single" w:sz="12" w:space="4" w:color="auto"/>
        </w:pBdr>
      </w:pPr>
      <w:r>
        <w:rPr>
          <w:lang w:eastAsia="zh-CN"/>
        </w:rPr>
        <w:t>4</w:t>
      </w:r>
      <w:r w:rsidR="00CD4C7B" w:rsidRPr="006E13D1">
        <w:tab/>
      </w:r>
      <w:r w:rsidR="007B6CFC">
        <w:rPr>
          <w:lang w:eastAsia="zh-CN"/>
        </w:rPr>
        <w:t xml:space="preserve">Conclusion </w:t>
      </w:r>
    </w:p>
    <w:p w14:paraId="54569CF4" w14:textId="7AAB821A" w:rsidR="00293039" w:rsidRDefault="46C4DE92" w:rsidP="007A63E3">
      <w:pPr>
        <w:jc w:val="both"/>
      </w:pPr>
      <w:r>
        <w:t xml:space="preserve">In this paper we discussed </w:t>
      </w:r>
      <w:r w:rsidR="00844B1E" w:rsidRPr="00844B1E">
        <w:t>the impact</w:t>
      </w:r>
      <w:r w:rsidR="00844B1E">
        <w:t>s</w:t>
      </w:r>
      <w:r w:rsidR="00844B1E" w:rsidRPr="00844B1E">
        <w:t xml:space="preserve"> of LBT on RA and SR procedures</w:t>
      </w:r>
      <w:r w:rsidR="00844B1E">
        <w:t xml:space="preserve">, </w:t>
      </w:r>
      <w:r>
        <w:t xml:space="preserve">and made the following </w:t>
      </w:r>
      <w:r w:rsidR="00844B1E">
        <w:t xml:space="preserve">observations and </w:t>
      </w:r>
      <w:r>
        <w:t>proposals:</w:t>
      </w:r>
    </w:p>
    <w:p w14:paraId="31A7A690" w14:textId="77777777" w:rsidR="00CA11B7" w:rsidRPr="00EF662B" w:rsidRDefault="00CA11B7" w:rsidP="00CA11B7">
      <w:pPr>
        <w:jc w:val="both"/>
        <w:rPr>
          <w:b/>
          <w:bCs/>
        </w:rPr>
      </w:pPr>
      <w:r w:rsidRPr="004E3DB8">
        <w:rPr>
          <w:b/>
          <w:bCs/>
        </w:rPr>
        <w:lastRenderedPageBreak/>
        <w:t xml:space="preserve">Proposal </w:t>
      </w:r>
      <w:r>
        <w:rPr>
          <w:b/>
          <w:bCs/>
        </w:rPr>
        <w:t>1</w:t>
      </w:r>
      <w:r w:rsidRPr="004E3DB8">
        <w:rPr>
          <w:b/>
          <w:bCs/>
        </w:rPr>
        <w:t>: Make power ramping for random access preamble conditional on successful LBT for msg1</w:t>
      </w:r>
      <w:r>
        <w:rPr>
          <w:b/>
          <w:bCs/>
        </w:rPr>
        <w:t xml:space="preserve">/msgA. </w:t>
      </w:r>
    </w:p>
    <w:p w14:paraId="2E48FF27" w14:textId="77777777" w:rsidR="00CA11B7" w:rsidRPr="00354FDA" w:rsidRDefault="00CA11B7" w:rsidP="00CA11B7">
      <w:pPr>
        <w:jc w:val="both"/>
        <w:rPr>
          <w:b/>
        </w:rPr>
      </w:pPr>
      <w:r w:rsidRPr="00354FDA">
        <w:rPr>
          <w:b/>
          <w:bCs/>
        </w:rPr>
        <w:t xml:space="preserve">Proposal 2: RAN2 should discuss whether </w:t>
      </w:r>
      <w:r w:rsidRPr="00354FDA">
        <w:rPr>
          <w:b/>
          <w:i/>
          <w:iCs/>
          <w:lang w:eastAsia="ko-KR"/>
        </w:rPr>
        <w:t>PREAMBLE_TRANSMISSION_COUNTER</w:t>
      </w:r>
      <w:r w:rsidRPr="00354FDA">
        <w:rPr>
          <w:b/>
          <w:iCs/>
          <w:lang w:eastAsia="ko-KR"/>
        </w:rPr>
        <w:t xml:space="preserve"> should always be increased independently on the outcome of LBT procedure for the transmission of msg1/msgA – or an alternative mechanism is need</w:t>
      </w:r>
      <w:r>
        <w:rPr>
          <w:b/>
          <w:iCs/>
          <w:lang w:eastAsia="ko-KR"/>
        </w:rPr>
        <w:t>ed</w:t>
      </w:r>
      <w:r w:rsidRPr="00354FDA">
        <w:rPr>
          <w:b/>
          <w:iCs/>
          <w:lang w:eastAsia="ko-KR"/>
        </w:rPr>
        <w:t xml:space="preserve"> to handle potentially systematic UL LBT failures</w:t>
      </w:r>
      <w:r>
        <w:rPr>
          <w:b/>
          <w:iCs/>
          <w:lang w:eastAsia="ko-KR"/>
        </w:rPr>
        <w:t xml:space="preserve"> </w:t>
      </w:r>
      <w:r w:rsidRPr="00354FDA">
        <w:rPr>
          <w:b/>
          <w:iCs/>
          <w:lang w:eastAsia="ko-KR"/>
        </w:rPr>
        <w:t xml:space="preserve">during </w:t>
      </w:r>
      <w:r>
        <w:rPr>
          <w:b/>
          <w:iCs/>
          <w:lang w:eastAsia="ko-KR"/>
        </w:rPr>
        <w:t xml:space="preserve">the </w:t>
      </w:r>
      <w:r w:rsidRPr="00354FDA">
        <w:rPr>
          <w:b/>
          <w:iCs/>
          <w:lang w:eastAsia="ko-KR"/>
        </w:rPr>
        <w:t xml:space="preserve">RA procedure. </w:t>
      </w:r>
    </w:p>
    <w:p w14:paraId="4E580337" w14:textId="77777777" w:rsidR="00CA11B7" w:rsidRDefault="00CA11B7" w:rsidP="00CA11B7">
      <w:pPr>
        <w:jc w:val="both"/>
        <w:rPr>
          <w:b/>
          <w:color w:val="000000"/>
          <w:lang w:val="en-US"/>
        </w:rPr>
      </w:pPr>
      <w:r>
        <w:rPr>
          <w:b/>
          <w:lang w:val="en-US"/>
        </w:rPr>
        <w:t xml:space="preserve">Proposal 3: when SR resources are configured in unlicensed spectrum, </w:t>
      </w:r>
      <w:r>
        <w:rPr>
          <w:b/>
          <w:color w:val="000000"/>
          <w:lang w:val="en-US"/>
        </w:rPr>
        <w:t>the SR prohibit timer is only started upon a successful transmission of the SR on the physical layer (i.e. conditionally based on successful LBT in uplink).</w:t>
      </w:r>
    </w:p>
    <w:p w14:paraId="5CF9B6D6" w14:textId="77777777" w:rsidR="00CA11B7" w:rsidRDefault="00CA11B7" w:rsidP="00CA11B7">
      <w:pPr>
        <w:jc w:val="both"/>
        <w:rPr>
          <w:b/>
          <w:iCs/>
          <w:lang w:val="en-US"/>
        </w:rPr>
      </w:pPr>
      <w:r>
        <w:rPr>
          <w:b/>
          <w:lang w:val="en-US"/>
        </w:rPr>
        <w:t xml:space="preserve">Observation 1: </w:t>
      </w:r>
      <w:r>
        <w:rPr>
          <w:b/>
          <w:color w:val="000000"/>
          <w:lang w:val="en-US"/>
        </w:rPr>
        <w:t xml:space="preserve"> if the SR counter is increased also in </w:t>
      </w:r>
      <w:r>
        <w:rPr>
          <w:b/>
          <w:iCs/>
          <w:lang w:val="en-US"/>
        </w:rPr>
        <w:t>the event of an SR transmission being blocked by LBT, this may result in an unnecessary release of the physical layer configuration.</w:t>
      </w:r>
    </w:p>
    <w:p w14:paraId="72E81DBC" w14:textId="77777777" w:rsidR="00CA11B7" w:rsidRPr="00A961CA" w:rsidRDefault="00CA11B7" w:rsidP="00CA11B7">
      <w:pPr>
        <w:jc w:val="both"/>
        <w:rPr>
          <w:b/>
          <w:color w:val="000000"/>
          <w:lang w:val="en-US"/>
        </w:rPr>
      </w:pPr>
      <w:r>
        <w:rPr>
          <w:b/>
          <w:lang w:val="en-US"/>
        </w:rPr>
        <w:t xml:space="preserve">Observation 2: </w:t>
      </w:r>
      <w:r>
        <w:rPr>
          <w:b/>
          <w:color w:val="000000"/>
          <w:lang w:val="en-US"/>
        </w:rPr>
        <w:t xml:space="preserve">if the SR counter is NOT increased in </w:t>
      </w:r>
      <w:r>
        <w:rPr>
          <w:b/>
          <w:iCs/>
          <w:lang w:val="en-US"/>
        </w:rPr>
        <w:t>the event of an SR transmission being blocked by LBT, this may result in a longer delay in declaring RLF due to excessive LBT blocking in UL.</w:t>
      </w:r>
    </w:p>
    <w:p w14:paraId="4DC9A803" w14:textId="77777777" w:rsidR="00CA11B7" w:rsidRDefault="00CA11B7" w:rsidP="00CA11B7">
      <w:pPr>
        <w:jc w:val="both"/>
        <w:rPr>
          <w:b/>
          <w:lang w:val="en-US"/>
        </w:rPr>
      </w:pPr>
      <w:r>
        <w:rPr>
          <w:b/>
          <w:lang w:val="en-US"/>
        </w:rPr>
        <w:t>Proposal 4: Study whether the SR counter should only be increased upon a successful transmission of the SR on the physical layer (i.e. conditionally based on successful LBT in uplink) when SR resources are configured in unlicensed spectrum.</w:t>
      </w:r>
    </w:p>
    <w:p w14:paraId="3533F9ED" w14:textId="77777777" w:rsidR="00CA11B7" w:rsidRPr="00A961CA" w:rsidRDefault="00CA11B7" w:rsidP="00CA11B7">
      <w:pPr>
        <w:jc w:val="both"/>
        <w:rPr>
          <w:b/>
          <w:lang w:val="en-US"/>
        </w:rPr>
      </w:pPr>
      <w:r>
        <w:rPr>
          <w:b/>
          <w:lang w:val="en-US"/>
        </w:rPr>
        <w:t xml:space="preserve">Proposal 5: RAN2 should discuss </w:t>
      </w:r>
      <w:r w:rsidRPr="00A961CA">
        <w:rPr>
          <w:b/>
          <w:lang w:val="en-US"/>
        </w:rPr>
        <w:t xml:space="preserve">whether </w:t>
      </w:r>
      <w:r>
        <w:rPr>
          <w:b/>
          <w:lang w:val="en-US"/>
        </w:rPr>
        <w:t xml:space="preserve">to introduce </w:t>
      </w:r>
      <w:r w:rsidRPr="00A961CA">
        <w:rPr>
          <w:b/>
          <w:lang w:val="en-US"/>
        </w:rPr>
        <w:t>a specific mechanism to trigger RLF in case of systematic UL LBT failure</w:t>
      </w:r>
      <w:r>
        <w:rPr>
          <w:b/>
          <w:lang w:val="en-US"/>
        </w:rPr>
        <w:t>s</w:t>
      </w:r>
      <w:r w:rsidRPr="00A961CA">
        <w:rPr>
          <w:b/>
          <w:lang w:val="en-US"/>
        </w:rPr>
        <w:t xml:space="preserve"> </w:t>
      </w:r>
      <w:r>
        <w:rPr>
          <w:b/>
          <w:lang w:val="en-US"/>
        </w:rPr>
        <w:t xml:space="preserve">happens </w:t>
      </w:r>
      <w:r w:rsidRPr="00A961CA">
        <w:rPr>
          <w:b/>
          <w:lang w:val="en-US"/>
        </w:rPr>
        <w:t xml:space="preserve">in correspondence of UE-initiated </w:t>
      </w:r>
      <w:r>
        <w:rPr>
          <w:b/>
          <w:lang w:val="en-US"/>
        </w:rPr>
        <w:t xml:space="preserve">UL transmissions (e.g. SR, UL configured grants). </w:t>
      </w:r>
    </w:p>
    <w:p w14:paraId="0FDCFAC2" w14:textId="77777777" w:rsidR="00CD4C7B" w:rsidRPr="006E13D1" w:rsidRDefault="46C4DE92" w:rsidP="00297615">
      <w:pPr>
        <w:pStyle w:val="Heading1"/>
        <w:jc w:val="both"/>
      </w:pPr>
      <w:r>
        <w:t>References</w:t>
      </w:r>
    </w:p>
    <w:bookmarkStart w:id="1" w:name="_Ref75086397"/>
    <w:bookmarkStart w:id="2" w:name="_GoBack"/>
    <w:bookmarkEnd w:id="2"/>
    <w:p w14:paraId="7EF8E2E3" w14:textId="77777777" w:rsidR="00300897" w:rsidRDefault="00300897" w:rsidP="00300897">
      <w:pPr>
        <w:numPr>
          <w:ilvl w:val="0"/>
          <w:numId w:val="22"/>
        </w:numPr>
        <w:overflowPunct w:val="0"/>
        <w:autoSpaceDE w:val="0"/>
        <w:autoSpaceDN w:val="0"/>
        <w:adjustRightInd w:val="0"/>
        <w:textAlignment w:val="baseline"/>
        <w:rPr>
          <w:lang w:val="en-US"/>
        </w:rPr>
      </w:pPr>
      <w:r>
        <w:fldChar w:fldCharType="begin"/>
      </w:r>
      <w:r>
        <w:instrText xml:space="preserve"> HYPERLINK "file:///C:\\Users\\crosa\\AppData\\Local\\Temp\\7zO00939E22\\Docs\\R2-1810212.zip" \o "D:Documents3GPPtsg_ranWG2RAN2DocsR2-1810212.zip" </w:instrText>
      </w:r>
      <w:r>
        <w:fldChar w:fldCharType="separate"/>
      </w:r>
      <w:r>
        <w:rPr>
          <w:rStyle w:val="Hyperlink"/>
          <w:lang w:val="en-US"/>
        </w:rPr>
        <w:t>R2-1810212</w:t>
      </w:r>
      <w:r>
        <w:fldChar w:fldCharType="end"/>
      </w:r>
      <w:r>
        <w:rPr>
          <w:lang w:val="en-US"/>
        </w:rPr>
        <w:t>, “</w:t>
      </w:r>
      <w:r>
        <w:rPr>
          <w:i/>
          <w:lang w:val="en-US"/>
        </w:rPr>
        <w:t>MAC impacts due to NR-based access to unlicensed spectrum</w:t>
      </w:r>
      <w:r>
        <w:rPr>
          <w:lang w:val="en-US"/>
        </w:rPr>
        <w:t>” - Nokia, Nokia Shanghai Bell</w:t>
      </w:r>
    </w:p>
    <w:bookmarkEnd w:id="1"/>
    <w:p w14:paraId="2D2523FD" w14:textId="77777777" w:rsidR="00300897" w:rsidRDefault="00300897" w:rsidP="00300897">
      <w:pPr>
        <w:numPr>
          <w:ilvl w:val="0"/>
          <w:numId w:val="22"/>
        </w:numPr>
        <w:overflowPunct w:val="0"/>
        <w:autoSpaceDE w:val="0"/>
        <w:autoSpaceDN w:val="0"/>
        <w:adjustRightInd w:val="0"/>
        <w:textAlignment w:val="baseline"/>
        <w:rPr>
          <w:lang w:val="en-US"/>
        </w:rPr>
      </w:pPr>
      <w:r>
        <w:rPr>
          <w:lang w:val="en-US"/>
        </w:rPr>
        <w:t xml:space="preserve">3GPP TS 38.321, </w:t>
      </w:r>
      <w:r>
        <w:rPr>
          <w:i/>
          <w:lang w:val="en-US"/>
        </w:rPr>
        <w:t>“NR MAC protocol specifications”</w:t>
      </w:r>
    </w:p>
    <w:p w14:paraId="39D71C01" w14:textId="77777777" w:rsidR="00F022E0" w:rsidRDefault="00F022E0" w:rsidP="00300897">
      <w:pPr>
        <w:overflowPunct w:val="0"/>
        <w:autoSpaceDE w:val="0"/>
        <w:autoSpaceDN w:val="0"/>
        <w:adjustRightInd w:val="0"/>
        <w:textAlignment w:val="baseline"/>
      </w:pPr>
    </w:p>
    <w:sectPr w:rsidR="00F022E0" w:rsidSect="004127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DE7CC" w14:textId="77777777" w:rsidR="008C4E4D" w:rsidRDefault="008C4E4D">
      <w:r>
        <w:separator/>
      </w:r>
    </w:p>
  </w:endnote>
  <w:endnote w:type="continuationSeparator" w:id="0">
    <w:p w14:paraId="186B5FEB" w14:textId="77777777" w:rsidR="008C4E4D" w:rsidRDefault="008C4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DE855" w14:textId="77777777" w:rsidR="008C4E4D" w:rsidRDefault="008C4E4D">
      <w:r>
        <w:separator/>
      </w:r>
    </w:p>
  </w:footnote>
  <w:footnote w:type="continuationSeparator" w:id="0">
    <w:p w14:paraId="12FA3D45" w14:textId="77777777" w:rsidR="008C4E4D" w:rsidRDefault="008C4E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01B4B"/>
    <w:multiLevelType w:val="hybridMultilevel"/>
    <w:tmpl w:val="66FAE944"/>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92114E"/>
    <w:multiLevelType w:val="hybridMultilevel"/>
    <w:tmpl w:val="C1C058C0"/>
    <w:lvl w:ilvl="0" w:tplc="4AB8E3F0">
      <w:start w:val="3"/>
      <w:numFmt w:val="bullet"/>
      <w:lvlText w:val="-"/>
      <w:lvlJc w:val="left"/>
      <w:pPr>
        <w:ind w:left="720" w:hanging="360"/>
      </w:pPr>
      <w:rPr>
        <w:rFonts w:ascii="Arial" w:eastAsia="Times New Roman" w:hAnsi="Arial" w:hint="default"/>
        <w:b w:val="0"/>
        <w:i w:val="0"/>
        <w:color w:val="auto"/>
        <w:sz w:val="24"/>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F4FC6"/>
    <w:multiLevelType w:val="hybridMultilevel"/>
    <w:tmpl w:val="F83FA97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BB84326"/>
    <w:multiLevelType w:val="hybridMultilevel"/>
    <w:tmpl w:val="7D466C20"/>
    <w:lvl w:ilvl="0" w:tplc="95D24782">
      <w:start w:val="1"/>
      <w:numFmt w:val="bullet"/>
      <w:lvlText w:val=""/>
      <w:lvlJc w:val="left"/>
      <w:pPr>
        <w:tabs>
          <w:tab w:val="num" w:pos="720"/>
        </w:tabs>
        <w:ind w:left="720" w:hanging="360"/>
      </w:pPr>
      <w:rPr>
        <w:rFonts w:ascii="Wingdings" w:hAnsi="Wingdings" w:hint="default"/>
      </w:rPr>
    </w:lvl>
    <w:lvl w:ilvl="1" w:tplc="CFC0AFFA">
      <w:start w:val="1"/>
      <w:numFmt w:val="bullet"/>
      <w:lvlText w:val=""/>
      <w:lvlJc w:val="left"/>
      <w:pPr>
        <w:tabs>
          <w:tab w:val="num" w:pos="1440"/>
        </w:tabs>
        <w:ind w:left="1440" w:hanging="360"/>
      </w:pPr>
      <w:rPr>
        <w:rFonts w:ascii="Wingdings" w:hAnsi="Wingdings" w:hint="default"/>
      </w:rPr>
    </w:lvl>
    <w:lvl w:ilvl="2" w:tplc="7BC488A8">
      <w:start w:val="1351"/>
      <w:numFmt w:val="bullet"/>
      <w:lvlText w:val=""/>
      <w:lvlJc w:val="left"/>
      <w:pPr>
        <w:tabs>
          <w:tab w:val="num" w:pos="2160"/>
        </w:tabs>
        <w:ind w:left="2160" w:hanging="360"/>
      </w:pPr>
      <w:rPr>
        <w:rFonts w:ascii="Wingdings" w:hAnsi="Wingdings" w:hint="default"/>
      </w:rPr>
    </w:lvl>
    <w:lvl w:ilvl="3" w:tplc="14185510" w:tentative="1">
      <w:start w:val="1"/>
      <w:numFmt w:val="bullet"/>
      <w:lvlText w:val=""/>
      <w:lvlJc w:val="left"/>
      <w:pPr>
        <w:tabs>
          <w:tab w:val="num" w:pos="2880"/>
        </w:tabs>
        <w:ind w:left="2880" w:hanging="360"/>
      </w:pPr>
      <w:rPr>
        <w:rFonts w:ascii="Wingdings" w:hAnsi="Wingdings" w:hint="default"/>
      </w:rPr>
    </w:lvl>
    <w:lvl w:ilvl="4" w:tplc="BA7807E2" w:tentative="1">
      <w:start w:val="1"/>
      <w:numFmt w:val="bullet"/>
      <w:lvlText w:val=""/>
      <w:lvlJc w:val="left"/>
      <w:pPr>
        <w:tabs>
          <w:tab w:val="num" w:pos="3600"/>
        </w:tabs>
        <w:ind w:left="3600" w:hanging="360"/>
      </w:pPr>
      <w:rPr>
        <w:rFonts w:ascii="Wingdings" w:hAnsi="Wingdings" w:hint="default"/>
      </w:rPr>
    </w:lvl>
    <w:lvl w:ilvl="5" w:tplc="C2A019C2" w:tentative="1">
      <w:start w:val="1"/>
      <w:numFmt w:val="bullet"/>
      <w:lvlText w:val=""/>
      <w:lvlJc w:val="left"/>
      <w:pPr>
        <w:tabs>
          <w:tab w:val="num" w:pos="4320"/>
        </w:tabs>
        <w:ind w:left="4320" w:hanging="360"/>
      </w:pPr>
      <w:rPr>
        <w:rFonts w:ascii="Wingdings" w:hAnsi="Wingdings" w:hint="default"/>
      </w:rPr>
    </w:lvl>
    <w:lvl w:ilvl="6" w:tplc="929852F6" w:tentative="1">
      <w:start w:val="1"/>
      <w:numFmt w:val="bullet"/>
      <w:lvlText w:val=""/>
      <w:lvlJc w:val="left"/>
      <w:pPr>
        <w:tabs>
          <w:tab w:val="num" w:pos="5040"/>
        </w:tabs>
        <w:ind w:left="5040" w:hanging="360"/>
      </w:pPr>
      <w:rPr>
        <w:rFonts w:ascii="Wingdings" w:hAnsi="Wingdings" w:hint="default"/>
      </w:rPr>
    </w:lvl>
    <w:lvl w:ilvl="7" w:tplc="41BC441C" w:tentative="1">
      <w:start w:val="1"/>
      <w:numFmt w:val="bullet"/>
      <w:lvlText w:val=""/>
      <w:lvlJc w:val="left"/>
      <w:pPr>
        <w:tabs>
          <w:tab w:val="num" w:pos="5760"/>
        </w:tabs>
        <w:ind w:left="5760" w:hanging="360"/>
      </w:pPr>
      <w:rPr>
        <w:rFonts w:ascii="Wingdings" w:hAnsi="Wingdings" w:hint="default"/>
      </w:rPr>
    </w:lvl>
    <w:lvl w:ilvl="8" w:tplc="3A706B5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090B1F"/>
    <w:multiLevelType w:val="hybridMultilevel"/>
    <w:tmpl w:val="96B4ECB4"/>
    <w:lvl w:ilvl="0" w:tplc="757204A0">
      <w:start w:val="1"/>
      <w:numFmt w:val="bullet"/>
      <w:lvlText w:val="•"/>
      <w:lvlJc w:val="left"/>
      <w:pPr>
        <w:tabs>
          <w:tab w:val="num" w:pos="720"/>
        </w:tabs>
        <w:ind w:left="720" w:hanging="360"/>
      </w:pPr>
      <w:rPr>
        <w:rFonts w:ascii="Arial" w:hAnsi="Arial" w:hint="default"/>
      </w:rPr>
    </w:lvl>
    <w:lvl w:ilvl="1" w:tplc="D2466EF6">
      <w:start w:val="279"/>
      <w:numFmt w:val="bullet"/>
      <w:lvlText w:val="–"/>
      <w:lvlJc w:val="left"/>
      <w:pPr>
        <w:tabs>
          <w:tab w:val="num" w:pos="1440"/>
        </w:tabs>
        <w:ind w:left="1440" w:hanging="360"/>
      </w:pPr>
      <w:rPr>
        <w:rFonts w:ascii="Arial" w:hAnsi="Arial" w:hint="default"/>
      </w:rPr>
    </w:lvl>
    <w:lvl w:ilvl="2" w:tplc="3CDAD914" w:tentative="1">
      <w:start w:val="1"/>
      <w:numFmt w:val="bullet"/>
      <w:lvlText w:val="•"/>
      <w:lvlJc w:val="left"/>
      <w:pPr>
        <w:tabs>
          <w:tab w:val="num" w:pos="2160"/>
        </w:tabs>
        <w:ind w:left="2160" w:hanging="360"/>
      </w:pPr>
      <w:rPr>
        <w:rFonts w:ascii="Arial" w:hAnsi="Arial" w:hint="default"/>
      </w:rPr>
    </w:lvl>
    <w:lvl w:ilvl="3" w:tplc="91223356" w:tentative="1">
      <w:start w:val="1"/>
      <w:numFmt w:val="bullet"/>
      <w:lvlText w:val="•"/>
      <w:lvlJc w:val="left"/>
      <w:pPr>
        <w:tabs>
          <w:tab w:val="num" w:pos="2880"/>
        </w:tabs>
        <w:ind w:left="2880" w:hanging="360"/>
      </w:pPr>
      <w:rPr>
        <w:rFonts w:ascii="Arial" w:hAnsi="Arial" w:hint="default"/>
      </w:rPr>
    </w:lvl>
    <w:lvl w:ilvl="4" w:tplc="D506FA92" w:tentative="1">
      <w:start w:val="1"/>
      <w:numFmt w:val="bullet"/>
      <w:lvlText w:val="•"/>
      <w:lvlJc w:val="left"/>
      <w:pPr>
        <w:tabs>
          <w:tab w:val="num" w:pos="3600"/>
        </w:tabs>
        <w:ind w:left="3600" w:hanging="360"/>
      </w:pPr>
      <w:rPr>
        <w:rFonts w:ascii="Arial" w:hAnsi="Arial" w:hint="default"/>
      </w:rPr>
    </w:lvl>
    <w:lvl w:ilvl="5" w:tplc="4B90385A" w:tentative="1">
      <w:start w:val="1"/>
      <w:numFmt w:val="bullet"/>
      <w:lvlText w:val="•"/>
      <w:lvlJc w:val="left"/>
      <w:pPr>
        <w:tabs>
          <w:tab w:val="num" w:pos="4320"/>
        </w:tabs>
        <w:ind w:left="4320" w:hanging="360"/>
      </w:pPr>
      <w:rPr>
        <w:rFonts w:ascii="Arial" w:hAnsi="Arial" w:hint="default"/>
      </w:rPr>
    </w:lvl>
    <w:lvl w:ilvl="6" w:tplc="5EB0DE3C" w:tentative="1">
      <w:start w:val="1"/>
      <w:numFmt w:val="bullet"/>
      <w:lvlText w:val="•"/>
      <w:lvlJc w:val="left"/>
      <w:pPr>
        <w:tabs>
          <w:tab w:val="num" w:pos="5040"/>
        </w:tabs>
        <w:ind w:left="5040" w:hanging="360"/>
      </w:pPr>
      <w:rPr>
        <w:rFonts w:ascii="Arial" w:hAnsi="Arial" w:hint="default"/>
      </w:rPr>
    </w:lvl>
    <w:lvl w:ilvl="7" w:tplc="38522900" w:tentative="1">
      <w:start w:val="1"/>
      <w:numFmt w:val="bullet"/>
      <w:lvlText w:val="•"/>
      <w:lvlJc w:val="left"/>
      <w:pPr>
        <w:tabs>
          <w:tab w:val="num" w:pos="5760"/>
        </w:tabs>
        <w:ind w:left="5760" w:hanging="360"/>
      </w:pPr>
      <w:rPr>
        <w:rFonts w:ascii="Arial" w:hAnsi="Arial" w:hint="default"/>
      </w:rPr>
    </w:lvl>
    <w:lvl w:ilvl="8" w:tplc="30E077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1A4612"/>
    <w:multiLevelType w:val="hybridMultilevel"/>
    <w:tmpl w:val="A0D0BC16"/>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837535"/>
    <w:multiLevelType w:val="hybridMultilevel"/>
    <w:tmpl w:val="6C5A59FC"/>
    <w:lvl w:ilvl="0" w:tplc="7DAA5DDC">
      <w:start w:val="1"/>
      <w:numFmt w:val="bullet"/>
      <w:lvlText w:val="•"/>
      <w:lvlJc w:val="left"/>
      <w:pPr>
        <w:tabs>
          <w:tab w:val="num" w:pos="720"/>
        </w:tabs>
        <w:ind w:left="720" w:hanging="360"/>
      </w:pPr>
      <w:rPr>
        <w:rFonts w:ascii="Arial" w:hAnsi="Arial" w:hint="default"/>
      </w:rPr>
    </w:lvl>
    <w:lvl w:ilvl="1" w:tplc="2892B2E6">
      <w:start w:val="155"/>
      <w:numFmt w:val="bullet"/>
      <w:lvlText w:val="•"/>
      <w:lvlJc w:val="left"/>
      <w:pPr>
        <w:tabs>
          <w:tab w:val="num" w:pos="1440"/>
        </w:tabs>
        <w:ind w:left="1440" w:hanging="360"/>
      </w:pPr>
      <w:rPr>
        <w:rFonts w:ascii="Arial" w:hAnsi="Arial" w:hint="default"/>
      </w:rPr>
    </w:lvl>
    <w:lvl w:ilvl="2" w:tplc="B9EE5788">
      <w:start w:val="155"/>
      <w:numFmt w:val="bullet"/>
      <w:lvlText w:val="•"/>
      <w:lvlJc w:val="left"/>
      <w:pPr>
        <w:tabs>
          <w:tab w:val="num" w:pos="2160"/>
        </w:tabs>
        <w:ind w:left="2160" w:hanging="360"/>
      </w:pPr>
      <w:rPr>
        <w:rFonts w:ascii="Arial" w:hAnsi="Arial" w:hint="default"/>
      </w:rPr>
    </w:lvl>
    <w:lvl w:ilvl="3" w:tplc="7C0EA086" w:tentative="1">
      <w:start w:val="1"/>
      <w:numFmt w:val="bullet"/>
      <w:lvlText w:val="•"/>
      <w:lvlJc w:val="left"/>
      <w:pPr>
        <w:tabs>
          <w:tab w:val="num" w:pos="2880"/>
        </w:tabs>
        <w:ind w:left="2880" w:hanging="360"/>
      </w:pPr>
      <w:rPr>
        <w:rFonts w:ascii="Arial" w:hAnsi="Arial" w:hint="default"/>
      </w:rPr>
    </w:lvl>
    <w:lvl w:ilvl="4" w:tplc="D6CE1DB0" w:tentative="1">
      <w:start w:val="1"/>
      <w:numFmt w:val="bullet"/>
      <w:lvlText w:val="•"/>
      <w:lvlJc w:val="left"/>
      <w:pPr>
        <w:tabs>
          <w:tab w:val="num" w:pos="3600"/>
        </w:tabs>
        <w:ind w:left="3600" w:hanging="360"/>
      </w:pPr>
      <w:rPr>
        <w:rFonts w:ascii="Arial" w:hAnsi="Arial" w:hint="default"/>
      </w:rPr>
    </w:lvl>
    <w:lvl w:ilvl="5" w:tplc="2FD8DA58" w:tentative="1">
      <w:start w:val="1"/>
      <w:numFmt w:val="bullet"/>
      <w:lvlText w:val="•"/>
      <w:lvlJc w:val="left"/>
      <w:pPr>
        <w:tabs>
          <w:tab w:val="num" w:pos="4320"/>
        </w:tabs>
        <w:ind w:left="4320" w:hanging="360"/>
      </w:pPr>
      <w:rPr>
        <w:rFonts w:ascii="Arial" w:hAnsi="Arial" w:hint="default"/>
      </w:rPr>
    </w:lvl>
    <w:lvl w:ilvl="6" w:tplc="ECD0844C" w:tentative="1">
      <w:start w:val="1"/>
      <w:numFmt w:val="bullet"/>
      <w:lvlText w:val="•"/>
      <w:lvlJc w:val="left"/>
      <w:pPr>
        <w:tabs>
          <w:tab w:val="num" w:pos="5040"/>
        </w:tabs>
        <w:ind w:left="5040" w:hanging="360"/>
      </w:pPr>
      <w:rPr>
        <w:rFonts w:ascii="Arial" w:hAnsi="Arial" w:hint="default"/>
      </w:rPr>
    </w:lvl>
    <w:lvl w:ilvl="7" w:tplc="FBA6A47E" w:tentative="1">
      <w:start w:val="1"/>
      <w:numFmt w:val="bullet"/>
      <w:lvlText w:val="•"/>
      <w:lvlJc w:val="left"/>
      <w:pPr>
        <w:tabs>
          <w:tab w:val="num" w:pos="5760"/>
        </w:tabs>
        <w:ind w:left="5760" w:hanging="360"/>
      </w:pPr>
      <w:rPr>
        <w:rFonts w:ascii="Arial" w:hAnsi="Arial" w:hint="default"/>
      </w:rPr>
    </w:lvl>
    <w:lvl w:ilvl="8" w:tplc="0D2004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AA2CB9"/>
    <w:multiLevelType w:val="hybridMultilevel"/>
    <w:tmpl w:val="04604C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AC191DA"/>
    <w:multiLevelType w:val="singleLevel"/>
    <w:tmpl w:val="5AC191DA"/>
    <w:lvl w:ilvl="0">
      <w:start w:val="1"/>
      <w:numFmt w:val="bullet"/>
      <w:lvlText w:val=""/>
      <w:lvlJc w:val="left"/>
      <w:pPr>
        <w:ind w:left="420" w:hanging="420"/>
      </w:pPr>
      <w:rPr>
        <w:rFonts w:ascii="Wingdings" w:hAnsi="Wingdings" w:hint="default"/>
      </w:rPr>
    </w:lvl>
  </w:abstractNum>
  <w:abstractNum w:abstractNumId="21" w15:restartNumberingAfterBreak="0">
    <w:nsid w:val="607664BC"/>
    <w:multiLevelType w:val="hybridMultilevel"/>
    <w:tmpl w:val="A96C3B2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607836DB"/>
    <w:multiLevelType w:val="hybridMultilevel"/>
    <w:tmpl w:val="1272EEF2"/>
    <w:lvl w:ilvl="0" w:tplc="245E70AE">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F278BC"/>
    <w:multiLevelType w:val="hybridMultilevel"/>
    <w:tmpl w:val="2E54A794"/>
    <w:lvl w:ilvl="0" w:tplc="716A4910">
      <w:start w:val="1"/>
      <w:numFmt w:val="bullet"/>
      <w:lvlText w:val="•"/>
      <w:lvlJc w:val="left"/>
      <w:pPr>
        <w:tabs>
          <w:tab w:val="num" w:pos="720"/>
        </w:tabs>
        <w:ind w:left="720" w:hanging="360"/>
      </w:pPr>
      <w:rPr>
        <w:rFonts w:ascii="Arial" w:hAnsi="Arial" w:hint="default"/>
      </w:rPr>
    </w:lvl>
    <w:lvl w:ilvl="1" w:tplc="46268C40" w:tentative="1">
      <w:start w:val="1"/>
      <w:numFmt w:val="bullet"/>
      <w:lvlText w:val="•"/>
      <w:lvlJc w:val="left"/>
      <w:pPr>
        <w:tabs>
          <w:tab w:val="num" w:pos="1440"/>
        </w:tabs>
        <w:ind w:left="1440" w:hanging="360"/>
      </w:pPr>
      <w:rPr>
        <w:rFonts w:ascii="Arial" w:hAnsi="Arial" w:hint="default"/>
      </w:rPr>
    </w:lvl>
    <w:lvl w:ilvl="2" w:tplc="166A3438" w:tentative="1">
      <w:start w:val="1"/>
      <w:numFmt w:val="bullet"/>
      <w:lvlText w:val="•"/>
      <w:lvlJc w:val="left"/>
      <w:pPr>
        <w:tabs>
          <w:tab w:val="num" w:pos="2160"/>
        </w:tabs>
        <w:ind w:left="2160" w:hanging="360"/>
      </w:pPr>
      <w:rPr>
        <w:rFonts w:ascii="Arial" w:hAnsi="Arial" w:hint="default"/>
      </w:rPr>
    </w:lvl>
    <w:lvl w:ilvl="3" w:tplc="C590CDC6" w:tentative="1">
      <w:start w:val="1"/>
      <w:numFmt w:val="bullet"/>
      <w:lvlText w:val="•"/>
      <w:lvlJc w:val="left"/>
      <w:pPr>
        <w:tabs>
          <w:tab w:val="num" w:pos="2880"/>
        </w:tabs>
        <w:ind w:left="2880" w:hanging="360"/>
      </w:pPr>
      <w:rPr>
        <w:rFonts w:ascii="Arial" w:hAnsi="Arial" w:hint="default"/>
      </w:rPr>
    </w:lvl>
    <w:lvl w:ilvl="4" w:tplc="A25E573E" w:tentative="1">
      <w:start w:val="1"/>
      <w:numFmt w:val="bullet"/>
      <w:lvlText w:val="•"/>
      <w:lvlJc w:val="left"/>
      <w:pPr>
        <w:tabs>
          <w:tab w:val="num" w:pos="3600"/>
        </w:tabs>
        <w:ind w:left="3600" w:hanging="360"/>
      </w:pPr>
      <w:rPr>
        <w:rFonts w:ascii="Arial" w:hAnsi="Arial" w:hint="default"/>
      </w:rPr>
    </w:lvl>
    <w:lvl w:ilvl="5" w:tplc="5AB8C5E2" w:tentative="1">
      <w:start w:val="1"/>
      <w:numFmt w:val="bullet"/>
      <w:lvlText w:val="•"/>
      <w:lvlJc w:val="left"/>
      <w:pPr>
        <w:tabs>
          <w:tab w:val="num" w:pos="4320"/>
        </w:tabs>
        <w:ind w:left="4320" w:hanging="360"/>
      </w:pPr>
      <w:rPr>
        <w:rFonts w:ascii="Arial" w:hAnsi="Arial" w:hint="default"/>
      </w:rPr>
    </w:lvl>
    <w:lvl w:ilvl="6" w:tplc="EB4EBB7A" w:tentative="1">
      <w:start w:val="1"/>
      <w:numFmt w:val="bullet"/>
      <w:lvlText w:val="•"/>
      <w:lvlJc w:val="left"/>
      <w:pPr>
        <w:tabs>
          <w:tab w:val="num" w:pos="5040"/>
        </w:tabs>
        <w:ind w:left="5040" w:hanging="360"/>
      </w:pPr>
      <w:rPr>
        <w:rFonts w:ascii="Arial" w:hAnsi="Arial" w:hint="default"/>
      </w:rPr>
    </w:lvl>
    <w:lvl w:ilvl="7" w:tplc="DEB088E6" w:tentative="1">
      <w:start w:val="1"/>
      <w:numFmt w:val="bullet"/>
      <w:lvlText w:val="•"/>
      <w:lvlJc w:val="left"/>
      <w:pPr>
        <w:tabs>
          <w:tab w:val="num" w:pos="5760"/>
        </w:tabs>
        <w:ind w:left="5760" w:hanging="360"/>
      </w:pPr>
      <w:rPr>
        <w:rFonts w:ascii="Arial" w:hAnsi="Arial" w:hint="default"/>
      </w:rPr>
    </w:lvl>
    <w:lvl w:ilvl="8" w:tplc="5AFCEB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E71C33"/>
    <w:multiLevelType w:val="hybridMultilevel"/>
    <w:tmpl w:val="F814C390"/>
    <w:lvl w:ilvl="0" w:tplc="267EFBD6">
      <w:start w:val="1"/>
      <w:numFmt w:val="bullet"/>
      <w:lvlText w:val="•"/>
      <w:lvlJc w:val="left"/>
      <w:pPr>
        <w:tabs>
          <w:tab w:val="num" w:pos="720"/>
        </w:tabs>
        <w:ind w:left="720" w:hanging="360"/>
      </w:pPr>
      <w:rPr>
        <w:rFonts w:ascii="Arial" w:hAnsi="Arial" w:hint="default"/>
      </w:rPr>
    </w:lvl>
    <w:lvl w:ilvl="1" w:tplc="D7DA4B86" w:tentative="1">
      <w:start w:val="1"/>
      <w:numFmt w:val="bullet"/>
      <w:lvlText w:val="•"/>
      <w:lvlJc w:val="left"/>
      <w:pPr>
        <w:tabs>
          <w:tab w:val="num" w:pos="1440"/>
        </w:tabs>
        <w:ind w:left="1440" w:hanging="360"/>
      </w:pPr>
      <w:rPr>
        <w:rFonts w:ascii="Arial" w:hAnsi="Arial" w:hint="default"/>
      </w:rPr>
    </w:lvl>
    <w:lvl w:ilvl="2" w:tplc="BB6A61FC" w:tentative="1">
      <w:start w:val="1"/>
      <w:numFmt w:val="bullet"/>
      <w:lvlText w:val="•"/>
      <w:lvlJc w:val="left"/>
      <w:pPr>
        <w:tabs>
          <w:tab w:val="num" w:pos="2160"/>
        </w:tabs>
        <w:ind w:left="2160" w:hanging="360"/>
      </w:pPr>
      <w:rPr>
        <w:rFonts w:ascii="Arial" w:hAnsi="Arial" w:hint="default"/>
      </w:rPr>
    </w:lvl>
    <w:lvl w:ilvl="3" w:tplc="767028AA" w:tentative="1">
      <w:start w:val="1"/>
      <w:numFmt w:val="bullet"/>
      <w:lvlText w:val="•"/>
      <w:lvlJc w:val="left"/>
      <w:pPr>
        <w:tabs>
          <w:tab w:val="num" w:pos="2880"/>
        </w:tabs>
        <w:ind w:left="2880" w:hanging="360"/>
      </w:pPr>
      <w:rPr>
        <w:rFonts w:ascii="Arial" w:hAnsi="Arial" w:hint="default"/>
      </w:rPr>
    </w:lvl>
    <w:lvl w:ilvl="4" w:tplc="56DEFF9C" w:tentative="1">
      <w:start w:val="1"/>
      <w:numFmt w:val="bullet"/>
      <w:lvlText w:val="•"/>
      <w:lvlJc w:val="left"/>
      <w:pPr>
        <w:tabs>
          <w:tab w:val="num" w:pos="3600"/>
        </w:tabs>
        <w:ind w:left="3600" w:hanging="360"/>
      </w:pPr>
      <w:rPr>
        <w:rFonts w:ascii="Arial" w:hAnsi="Arial" w:hint="default"/>
      </w:rPr>
    </w:lvl>
    <w:lvl w:ilvl="5" w:tplc="B02CFB36" w:tentative="1">
      <w:start w:val="1"/>
      <w:numFmt w:val="bullet"/>
      <w:lvlText w:val="•"/>
      <w:lvlJc w:val="left"/>
      <w:pPr>
        <w:tabs>
          <w:tab w:val="num" w:pos="4320"/>
        </w:tabs>
        <w:ind w:left="4320" w:hanging="360"/>
      </w:pPr>
      <w:rPr>
        <w:rFonts w:ascii="Arial" w:hAnsi="Arial" w:hint="default"/>
      </w:rPr>
    </w:lvl>
    <w:lvl w:ilvl="6" w:tplc="F2040918" w:tentative="1">
      <w:start w:val="1"/>
      <w:numFmt w:val="bullet"/>
      <w:lvlText w:val="•"/>
      <w:lvlJc w:val="left"/>
      <w:pPr>
        <w:tabs>
          <w:tab w:val="num" w:pos="5040"/>
        </w:tabs>
        <w:ind w:left="5040" w:hanging="360"/>
      </w:pPr>
      <w:rPr>
        <w:rFonts w:ascii="Arial" w:hAnsi="Arial" w:hint="default"/>
      </w:rPr>
    </w:lvl>
    <w:lvl w:ilvl="7" w:tplc="4238F158" w:tentative="1">
      <w:start w:val="1"/>
      <w:numFmt w:val="bullet"/>
      <w:lvlText w:val="•"/>
      <w:lvlJc w:val="left"/>
      <w:pPr>
        <w:tabs>
          <w:tab w:val="num" w:pos="5760"/>
        </w:tabs>
        <w:ind w:left="5760" w:hanging="360"/>
      </w:pPr>
      <w:rPr>
        <w:rFonts w:ascii="Arial" w:hAnsi="Arial" w:hint="default"/>
      </w:rPr>
    </w:lvl>
    <w:lvl w:ilvl="8" w:tplc="59A0B4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146DC0"/>
    <w:multiLevelType w:val="hybridMultilevel"/>
    <w:tmpl w:val="9BC21240"/>
    <w:lvl w:ilvl="0" w:tplc="6F0EF0F2">
      <w:start w:val="1"/>
      <w:numFmt w:val="bullet"/>
      <w:pStyle w:val="Agreement"/>
      <w:lvlText w:val=""/>
      <w:lvlJc w:val="left"/>
      <w:pPr>
        <w:tabs>
          <w:tab w:val="num" w:pos="671"/>
        </w:tabs>
        <w:ind w:left="671" w:hanging="360"/>
      </w:pPr>
      <w:rPr>
        <w:rFonts w:ascii="Symbol" w:hAnsi="Symbol" w:hint="default"/>
        <w:b/>
        <w:i w:val="0"/>
        <w:color w:val="auto"/>
        <w:sz w:val="22"/>
      </w:rPr>
    </w:lvl>
    <w:lvl w:ilvl="1" w:tplc="04090003">
      <w:start w:val="1"/>
      <w:numFmt w:val="bullet"/>
      <w:lvlText w:val="o"/>
      <w:lvlJc w:val="left"/>
      <w:pPr>
        <w:tabs>
          <w:tab w:val="num" w:pos="492"/>
        </w:tabs>
        <w:ind w:left="492" w:hanging="360"/>
      </w:pPr>
      <w:rPr>
        <w:rFonts w:ascii="Courier New" w:hAnsi="Courier New" w:cs="Courier New" w:hint="default"/>
      </w:rPr>
    </w:lvl>
    <w:lvl w:ilvl="2" w:tplc="04090005">
      <w:start w:val="1"/>
      <w:numFmt w:val="bullet"/>
      <w:lvlText w:val=""/>
      <w:lvlJc w:val="left"/>
      <w:pPr>
        <w:tabs>
          <w:tab w:val="num" w:pos="1212"/>
        </w:tabs>
        <w:ind w:left="1212" w:hanging="360"/>
      </w:pPr>
      <w:rPr>
        <w:rFonts w:ascii="Wingdings" w:hAnsi="Wingdings" w:hint="default"/>
      </w:rPr>
    </w:lvl>
    <w:lvl w:ilvl="3" w:tplc="04090001" w:tentative="1">
      <w:start w:val="1"/>
      <w:numFmt w:val="bullet"/>
      <w:lvlText w:val=""/>
      <w:lvlJc w:val="left"/>
      <w:pPr>
        <w:tabs>
          <w:tab w:val="num" w:pos="1932"/>
        </w:tabs>
        <w:ind w:left="1932" w:hanging="360"/>
      </w:pPr>
      <w:rPr>
        <w:rFonts w:ascii="Symbol" w:hAnsi="Symbol" w:hint="default"/>
      </w:rPr>
    </w:lvl>
    <w:lvl w:ilvl="4" w:tplc="04090003" w:tentative="1">
      <w:start w:val="1"/>
      <w:numFmt w:val="bullet"/>
      <w:lvlText w:val="o"/>
      <w:lvlJc w:val="left"/>
      <w:pPr>
        <w:tabs>
          <w:tab w:val="num" w:pos="2652"/>
        </w:tabs>
        <w:ind w:left="2652" w:hanging="360"/>
      </w:pPr>
      <w:rPr>
        <w:rFonts w:ascii="Courier New" w:hAnsi="Courier New" w:cs="Courier New" w:hint="default"/>
      </w:rPr>
    </w:lvl>
    <w:lvl w:ilvl="5" w:tplc="04090005" w:tentative="1">
      <w:start w:val="1"/>
      <w:numFmt w:val="bullet"/>
      <w:lvlText w:val=""/>
      <w:lvlJc w:val="left"/>
      <w:pPr>
        <w:tabs>
          <w:tab w:val="num" w:pos="3372"/>
        </w:tabs>
        <w:ind w:left="3372" w:hanging="360"/>
      </w:pPr>
      <w:rPr>
        <w:rFonts w:ascii="Wingdings" w:hAnsi="Wingdings" w:hint="default"/>
      </w:rPr>
    </w:lvl>
    <w:lvl w:ilvl="6" w:tplc="04090001" w:tentative="1">
      <w:start w:val="1"/>
      <w:numFmt w:val="bullet"/>
      <w:lvlText w:val=""/>
      <w:lvlJc w:val="left"/>
      <w:pPr>
        <w:tabs>
          <w:tab w:val="num" w:pos="4092"/>
        </w:tabs>
        <w:ind w:left="4092" w:hanging="360"/>
      </w:pPr>
      <w:rPr>
        <w:rFonts w:ascii="Symbol" w:hAnsi="Symbol" w:hint="default"/>
      </w:rPr>
    </w:lvl>
    <w:lvl w:ilvl="7" w:tplc="04090003" w:tentative="1">
      <w:start w:val="1"/>
      <w:numFmt w:val="bullet"/>
      <w:lvlText w:val="o"/>
      <w:lvlJc w:val="left"/>
      <w:pPr>
        <w:tabs>
          <w:tab w:val="num" w:pos="4812"/>
        </w:tabs>
        <w:ind w:left="4812" w:hanging="360"/>
      </w:pPr>
      <w:rPr>
        <w:rFonts w:ascii="Courier New" w:hAnsi="Courier New" w:cs="Courier New" w:hint="default"/>
      </w:rPr>
    </w:lvl>
    <w:lvl w:ilvl="8" w:tplc="04090005" w:tentative="1">
      <w:start w:val="1"/>
      <w:numFmt w:val="bullet"/>
      <w:lvlText w:val=""/>
      <w:lvlJc w:val="left"/>
      <w:pPr>
        <w:tabs>
          <w:tab w:val="num" w:pos="5532"/>
        </w:tabs>
        <w:ind w:left="5532" w:hanging="360"/>
      </w:pPr>
      <w:rPr>
        <w:rFonts w:ascii="Wingdings" w:hAnsi="Wingdings" w:hint="default"/>
      </w:rPr>
    </w:lvl>
  </w:abstractNum>
  <w:abstractNum w:abstractNumId="26" w15:restartNumberingAfterBreak="0">
    <w:nsid w:val="74A9FCEC"/>
    <w:multiLevelType w:val="hybridMultilevel"/>
    <w:tmpl w:val="6A9D4E72"/>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5E77517"/>
    <w:multiLevelType w:val="hybridMultilevel"/>
    <w:tmpl w:val="9CA4B2EE"/>
    <w:lvl w:ilvl="0" w:tplc="D744D4F6">
      <w:start w:val="1"/>
      <w:numFmt w:val="bullet"/>
      <w:lvlText w:val="•"/>
      <w:lvlJc w:val="left"/>
      <w:pPr>
        <w:tabs>
          <w:tab w:val="num" w:pos="720"/>
        </w:tabs>
        <w:ind w:left="720" w:hanging="360"/>
      </w:pPr>
      <w:rPr>
        <w:rFonts w:ascii="Arial" w:hAnsi="Arial" w:hint="default"/>
      </w:rPr>
    </w:lvl>
    <w:lvl w:ilvl="1" w:tplc="8E00285A" w:tentative="1">
      <w:start w:val="1"/>
      <w:numFmt w:val="bullet"/>
      <w:lvlText w:val="•"/>
      <w:lvlJc w:val="left"/>
      <w:pPr>
        <w:tabs>
          <w:tab w:val="num" w:pos="1440"/>
        </w:tabs>
        <w:ind w:left="1440" w:hanging="360"/>
      </w:pPr>
      <w:rPr>
        <w:rFonts w:ascii="Arial" w:hAnsi="Arial" w:hint="default"/>
      </w:rPr>
    </w:lvl>
    <w:lvl w:ilvl="2" w:tplc="867CD7B2" w:tentative="1">
      <w:start w:val="1"/>
      <w:numFmt w:val="bullet"/>
      <w:lvlText w:val="•"/>
      <w:lvlJc w:val="left"/>
      <w:pPr>
        <w:tabs>
          <w:tab w:val="num" w:pos="2160"/>
        </w:tabs>
        <w:ind w:left="2160" w:hanging="360"/>
      </w:pPr>
      <w:rPr>
        <w:rFonts w:ascii="Arial" w:hAnsi="Arial" w:hint="default"/>
      </w:rPr>
    </w:lvl>
    <w:lvl w:ilvl="3" w:tplc="4DCE2FD8" w:tentative="1">
      <w:start w:val="1"/>
      <w:numFmt w:val="bullet"/>
      <w:lvlText w:val="•"/>
      <w:lvlJc w:val="left"/>
      <w:pPr>
        <w:tabs>
          <w:tab w:val="num" w:pos="2880"/>
        </w:tabs>
        <w:ind w:left="2880" w:hanging="360"/>
      </w:pPr>
      <w:rPr>
        <w:rFonts w:ascii="Arial" w:hAnsi="Arial" w:hint="default"/>
      </w:rPr>
    </w:lvl>
    <w:lvl w:ilvl="4" w:tplc="E346ACF2" w:tentative="1">
      <w:start w:val="1"/>
      <w:numFmt w:val="bullet"/>
      <w:lvlText w:val="•"/>
      <w:lvlJc w:val="left"/>
      <w:pPr>
        <w:tabs>
          <w:tab w:val="num" w:pos="3600"/>
        </w:tabs>
        <w:ind w:left="3600" w:hanging="360"/>
      </w:pPr>
      <w:rPr>
        <w:rFonts w:ascii="Arial" w:hAnsi="Arial" w:hint="default"/>
      </w:rPr>
    </w:lvl>
    <w:lvl w:ilvl="5" w:tplc="68ECA7A8" w:tentative="1">
      <w:start w:val="1"/>
      <w:numFmt w:val="bullet"/>
      <w:lvlText w:val="•"/>
      <w:lvlJc w:val="left"/>
      <w:pPr>
        <w:tabs>
          <w:tab w:val="num" w:pos="4320"/>
        </w:tabs>
        <w:ind w:left="4320" w:hanging="360"/>
      </w:pPr>
      <w:rPr>
        <w:rFonts w:ascii="Arial" w:hAnsi="Arial" w:hint="default"/>
      </w:rPr>
    </w:lvl>
    <w:lvl w:ilvl="6" w:tplc="7EC02EC8" w:tentative="1">
      <w:start w:val="1"/>
      <w:numFmt w:val="bullet"/>
      <w:lvlText w:val="•"/>
      <w:lvlJc w:val="left"/>
      <w:pPr>
        <w:tabs>
          <w:tab w:val="num" w:pos="5040"/>
        </w:tabs>
        <w:ind w:left="5040" w:hanging="360"/>
      </w:pPr>
      <w:rPr>
        <w:rFonts w:ascii="Arial" w:hAnsi="Arial" w:hint="default"/>
      </w:rPr>
    </w:lvl>
    <w:lvl w:ilvl="7" w:tplc="F3524236" w:tentative="1">
      <w:start w:val="1"/>
      <w:numFmt w:val="bullet"/>
      <w:lvlText w:val="•"/>
      <w:lvlJc w:val="left"/>
      <w:pPr>
        <w:tabs>
          <w:tab w:val="num" w:pos="5760"/>
        </w:tabs>
        <w:ind w:left="5760" w:hanging="360"/>
      </w:pPr>
      <w:rPr>
        <w:rFonts w:ascii="Arial" w:hAnsi="Arial" w:hint="default"/>
      </w:rPr>
    </w:lvl>
    <w:lvl w:ilvl="8" w:tplc="7478C0C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9"/>
  </w:num>
  <w:num w:numId="6">
    <w:abstractNumId w:val="18"/>
  </w:num>
  <w:num w:numId="7">
    <w:abstractNumId w:val="12"/>
  </w:num>
  <w:num w:numId="8">
    <w:abstractNumId w:val="6"/>
  </w:num>
  <w:num w:numId="9">
    <w:abstractNumId w:val="26"/>
  </w:num>
  <w:num w:numId="10">
    <w:abstractNumId w:val="5"/>
  </w:num>
  <w:num w:numId="11">
    <w:abstractNumId w:val="8"/>
  </w:num>
  <w:num w:numId="12">
    <w:abstractNumId w:val="15"/>
  </w:num>
  <w:num w:numId="13">
    <w:abstractNumId w:val="19"/>
  </w:num>
  <w:num w:numId="14">
    <w:abstractNumId w:val="24"/>
  </w:num>
  <w:num w:numId="15">
    <w:abstractNumId w:val="27"/>
  </w:num>
  <w:num w:numId="16">
    <w:abstractNumId w:val="22"/>
  </w:num>
  <w:num w:numId="17">
    <w:abstractNumId w:val="20"/>
  </w:num>
  <w:num w:numId="18">
    <w:abstractNumId w:val="1"/>
  </w:num>
  <w:num w:numId="19">
    <w:abstractNumId w:val="21"/>
  </w:num>
  <w:num w:numId="20">
    <w:abstractNumId w:val="17"/>
  </w:num>
  <w:num w:numId="21">
    <w:abstractNumId w:val="1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3"/>
  </w:num>
  <w:num w:numId="25">
    <w:abstractNumId w:val="25"/>
  </w:num>
  <w:num w:numId="26">
    <w:abstractNumId w:val="16"/>
  </w:num>
  <w:num w:numId="27">
    <w:abstractNumId w:val="7"/>
  </w:num>
  <w:num w:numId="28">
    <w:abstractNumId w:val="23"/>
  </w:num>
  <w:num w:numId="29">
    <w:abstractNumId w:val="13"/>
  </w:num>
  <w:num w:numId="30">
    <w:abstractNumId w:val="4"/>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832"/>
    <w:rsid w:val="00022D06"/>
    <w:rsid w:val="0002498E"/>
    <w:rsid w:val="0002694E"/>
    <w:rsid w:val="0003254C"/>
    <w:rsid w:val="00033397"/>
    <w:rsid w:val="00037852"/>
    <w:rsid w:val="00040095"/>
    <w:rsid w:val="00043E63"/>
    <w:rsid w:val="00046630"/>
    <w:rsid w:val="0005705F"/>
    <w:rsid w:val="00061637"/>
    <w:rsid w:val="00062792"/>
    <w:rsid w:val="0007556B"/>
    <w:rsid w:val="00080512"/>
    <w:rsid w:val="00090468"/>
    <w:rsid w:val="000A055D"/>
    <w:rsid w:val="000A184C"/>
    <w:rsid w:val="000A4F3F"/>
    <w:rsid w:val="000B491E"/>
    <w:rsid w:val="000B4DC8"/>
    <w:rsid w:val="000B5AE8"/>
    <w:rsid w:val="000B7BCF"/>
    <w:rsid w:val="000C286B"/>
    <w:rsid w:val="000C522B"/>
    <w:rsid w:val="000D382C"/>
    <w:rsid w:val="000D5392"/>
    <w:rsid w:val="000D58AB"/>
    <w:rsid w:val="000D6F09"/>
    <w:rsid w:val="000E5C2B"/>
    <w:rsid w:val="000E7994"/>
    <w:rsid w:val="000F578F"/>
    <w:rsid w:val="00100D05"/>
    <w:rsid w:val="00105C35"/>
    <w:rsid w:val="00110469"/>
    <w:rsid w:val="00112F1A"/>
    <w:rsid w:val="00123E61"/>
    <w:rsid w:val="00132FC0"/>
    <w:rsid w:val="00142DB7"/>
    <w:rsid w:val="00145075"/>
    <w:rsid w:val="0015011C"/>
    <w:rsid w:val="00153EFD"/>
    <w:rsid w:val="0016620C"/>
    <w:rsid w:val="00170BB3"/>
    <w:rsid w:val="001710A6"/>
    <w:rsid w:val="00172749"/>
    <w:rsid w:val="001741A0"/>
    <w:rsid w:val="00175FA0"/>
    <w:rsid w:val="00180B20"/>
    <w:rsid w:val="0018171B"/>
    <w:rsid w:val="00184A94"/>
    <w:rsid w:val="00194CD0"/>
    <w:rsid w:val="001A502E"/>
    <w:rsid w:val="001B4442"/>
    <w:rsid w:val="001B49C9"/>
    <w:rsid w:val="001B7BC3"/>
    <w:rsid w:val="001C0913"/>
    <w:rsid w:val="001C30B5"/>
    <w:rsid w:val="001C4F79"/>
    <w:rsid w:val="001D54AD"/>
    <w:rsid w:val="001D65A6"/>
    <w:rsid w:val="001E531D"/>
    <w:rsid w:val="001F168B"/>
    <w:rsid w:val="001F7831"/>
    <w:rsid w:val="00204045"/>
    <w:rsid w:val="0020712B"/>
    <w:rsid w:val="002107D5"/>
    <w:rsid w:val="002148BF"/>
    <w:rsid w:val="00217EA2"/>
    <w:rsid w:val="00222823"/>
    <w:rsid w:val="0022606D"/>
    <w:rsid w:val="00231728"/>
    <w:rsid w:val="0024643D"/>
    <w:rsid w:val="00250CE3"/>
    <w:rsid w:val="002641AA"/>
    <w:rsid w:val="002647F7"/>
    <w:rsid w:val="002658C9"/>
    <w:rsid w:val="00265B33"/>
    <w:rsid w:val="002703B1"/>
    <w:rsid w:val="00270A00"/>
    <w:rsid w:val="00272FEE"/>
    <w:rsid w:val="002747EC"/>
    <w:rsid w:val="002760F7"/>
    <w:rsid w:val="002813B7"/>
    <w:rsid w:val="002855BF"/>
    <w:rsid w:val="00287BA8"/>
    <w:rsid w:val="00293039"/>
    <w:rsid w:val="00297615"/>
    <w:rsid w:val="002A3290"/>
    <w:rsid w:val="002B4225"/>
    <w:rsid w:val="002B5FB8"/>
    <w:rsid w:val="002B629B"/>
    <w:rsid w:val="002B6E03"/>
    <w:rsid w:val="002C1BC8"/>
    <w:rsid w:val="002C21C4"/>
    <w:rsid w:val="002D49AB"/>
    <w:rsid w:val="002D6D91"/>
    <w:rsid w:val="002F0D22"/>
    <w:rsid w:val="00300220"/>
    <w:rsid w:val="00300897"/>
    <w:rsid w:val="003033EA"/>
    <w:rsid w:val="00303614"/>
    <w:rsid w:val="00305394"/>
    <w:rsid w:val="00311E9F"/>
    <w:rsid w:val="003172DC"/>
    <w:rsid w:val="003218AD"/>
    <w:rsid w:val="00325AE3"/>
    <w:rsid w:val="00326069"/>
    <w:rsid w:val="00335D29"/>
    <w:rsid w:val="00337918"/>
    <w:rsid w:val="003400EB"/>
    <w:rsid w:val="00340DB7"/>
    <w:rsid w:val="00341891"/>
    <w:rsid w:val="00343CCE"/>
    <w:rsid w:val="003514AB"/>
    <w:rsid w:val="00351C25"/>
    <w:rsid w:val="00354335"/>
    <w:rsid w:val="0035462D"/>
    <w:rsid w:val="00354FDA"/>
    <w:rsid w:val="00364B41"/>
    <w:rsid w:val="00365C05"/>
    <w:rsid w:val="00366421"/>
    <w:rsid w:val="003710D8"/>
    <w:rsid w:val="0037134A"/>
    <w:rsid w:val="003742B9"/>
    <w:rsid w:val="00381034"/>
    <w:rsid w:val="00381F29"/>
    <w:rsid w:val="00390796"/>
    <w:rsid w:val="00390F3C"/>
    <w:rsid w:val="003945CF"/>
    <w:rsid w:val="00394A2E"/>
    <w:rsid w:val="00397781"/>
    <w:rsid w:val="003A3B07"/>
    <w:rsid w:val="003A4AC0"/>
    <w:rsid w:val="003B40AD"/>
    <w:rsid w:val="003C021B"/>
    <w:rsid w:val="003C4E37"/>
    <w:rsid w:val="003C5A2E"/>
    <w:rsid w:val="003D0AE2"/>
    <w:rsid w:val="003D64C1"/>
    <w:rsid w:val="003E16BE"/>
    <w:rsid w:val="003F320D"/>
    <w:rsid w:val="003F4E28"/>
    <w:rsid w:val="004006E8"/>
    <w:rsid w:val="00401855"/>
    <w:rsid w:val="00412738"/>
    <w:rsid w:val="004130D4"/>
    <w:rsid w:val="00417DEC"/>
    <w:rsid w:val="00421579"/>
    <w:rsid w:val="004219EA"/>
    <w:rsid w:val="00426E78"/>
    <w:rsid w:val="0044151E"/>
    <w:rsid w:val="00445384"/>
    <w:rsid w:val="00446D18"/>
    <w:rsid w:val="00453A40"/>
    <w:rsid w:val="004618DD"/>
    <w:rsid w:val="00470154"/>
    <w:rsid w:val="00471988"/>
    <w:rsid w:val="00473C66"/>
    <w:rsid w:val="00476D6E"/>
    <w:rsid w:val="00477243"/>
    <w:rsid w:val="00477455"/>
    <w:rsid w:val="004A05AB"/>
    <w:rsid w:val="004A1F7B"/>
    <w:rsid w:val="004A5775"/>
    <w:rsid w:val="004A6975"/>
    <w:rsid w:val="004B6998"/>
    <w:rsid w:val="004C3D1A"/>
    <w:rsid w:val="004C44D2"/>
    <w:rsid w:val="004D0D08"/>
    <w:rsid w:val="004D2ED6"/>
    <w:rsid w:val="004D3578"/>
    <w:rsid w:val="004D380D"/>
    <w:rsid w:val="004D5953"/>
    <w:rsid w:val="004D7906"/>
    <w:rsid w:val="004E213A"/>
    <w:rsid w:val="004E611C"/>
    <w:rsid w:val="004E7A27"/>
    <w:rsid w:val="005025F9"/>
    <w:rsid w:val="00503171"/>
    <w:rsid w:val="00503B8C"/>
    <w:rsid w:val="00506C28"/>
    <w:rsid w:val="00510808"/>
    <w:rsid w:val="005201C0"/>
    <w:rsid w:val="00521CDC"/>
    <w:rsid w:val="00523A52"/>
    <w:rsid w:val="00524770"/>
    <w:rsid w:val="00527134"/>
    <w:rsid w:val="00534DA0"/>
    <w:rsid w:val="00536C76"/>
    <w:rsid w:val="00541B3C"/>
    <w:rsid w:val="00541F69"/>
    <w:rsid w:val="00543E6C"/>
    <w:rsid w:val="005540D6"/>
    <w:rsid w:val="005549EF"/>
    <w:rsid w:val="005554A5"/>
    <w:rsid w:val="00565087"/>
    <w:rsid w:val="0056573F"/>
    <w:rsid w:val="0057286B"/>
    <w:rsid w:val="0057371A"/>
    <w:rsid w:val="00573F12"/>
    <w:rsid w:val="00575FDF"/>
    <w:rsid w:val="005813B7"/>
    <w:rsid w:val="0058266C"/>
    <w:rsid w:val="005829DF"/>
    <w:rsid w:val="00585689"/>
    <w:rsid w:val="00591DDC"/>
    <w:rsid w:val="00594C9F"/>
    <w:rsid w:val="005B2C60"/>
    <w:rsid w:val="005B4B30"/>
    <w:rsid w:val="005C042E"/>
    <w:rsid w:val="005C7C71"/>
    <w:rsid w:val="005D1553"/>
    <w:rsid w:val="005D1EA7"/>
    <w:rsid w:val="005D6474"/>
    <w:rsid w:val="005E5DFC"/>
    <w:rsid w:val="005F5BDB"/>
    <w:rsid w:val="005F73EE"/>
    <w:rsid w:val="0060544E"/>
    <w:rsid w:val="00610313"/>
    <w:rsid w:val="00611566"/>
    <w:rsid w:val="006144DA"/>
    <w:rsid w:val="00632A2B"/>
    <w:rsid w:val="00632BA2"/>
    <w:rsid w:val="00632F93"/>
    <w:rsid w:val="006368B1"/>
    <w:rsid w:val="00642BB2"/>
    <w:rsid w:val="0064499D"/>
    <w:rsid w:val="00646D99"/>
    <w:rsid w:val="006534B5"/>
    <w:rsid w:val="00656910"/>
    <w:rsid w:val="00661E0F"/>
    <w:rsid w:val="0067011C"/>
    <w:rsid w:val="00681874"/>
    <w:rsid w:val="00683035"/>
    <w:rsid w:val="006842D7"/>
    <w:rsid w:val="00690D05"/>
    <w:rsid w:val="006960AA"/>
    <w:rsid w:val="006A6338"/>
    <w:rsid w:val="006A6390"/>
    <w:rsid w:val="006B1BDA"/>
    <w:rsid w:val="006B31AF"/>
    <w:rsid w:val="006B3445"/>
    <w:rsid w:val="006B37CF"/>
    <w:rsid w:val="006B4D28"/>
    <w:rsid w:val="006B620F"/>
    <w:rsid w:val="006B6819"/>
    <w:rsid w:val="006B6FA6"/>
    <w:rsid w:val="006C08B5"/>
    <w:rsid w:val="006C5344"/>
    <w:rsid w:val="006C6535"/>
    <w:rsid w:val="006C66D8"/>
    <w:rsid w:val="006D1E24"/>
    <w:rsid w:val="006D7114"/>
    <w:rsid w:val="006E1417"/>
    <w:rsid w:val="006E17D8"/>
    <w:rsid w:val="006F3EBC"/>
    <w:rsid w:val="006F6A2C"/>
    <w:rsid w:val="00700AAD"/>
    <w:rsid w:val="007028CA"/>
    <w:rsid w:val="00707423"/>
    <w:rsid w:val="00710201"/>
    <w:rsid w:val="0071240C"/>
    <w:rsid w:val="00712463"/>
    <w:rsid w:val="0071473D"/>
    <w:rsid w:val="007165DE"/>
    <w:rsid w:val="0071690F"/>
    <w:rsid w:val="0072058C"/>
    <w:rsid w:val="00720902"/>
    <w:rsid w:val="00726779"/>
    <w:rsid w:val="00727DC9"/>
    <w:rsid w:val="007323FF"/>
    <w:rsid w:val="007342B5"/>
    <w:rsid w:val="00734A5B"/>
    <w:rsid w:val="00734AF7"/>
    <w:rsid w:val="00736E0C"/>
    <w:rsid w:val="00744C63"/>
    <w:rsid w:val="00744E76"/>
    <w:rsid w:val="007471A7"/>
    <w:rsid w:val="00757D40"/>
    <w:rsid w:val="00760E1E"/>
    <w:rsid w:val="0076121E"/>
    <w:rsid w:val="0076432C"/>
    <w:rsid w:val="0076612E"/>
    <w:rsid w:val="007663A7"/>
    <w:rsid w:val="00767390"/>
    <w:rsid w:val="00781F0F"/>
    <w:rsid w:val="00783721"/>
    <w:rsid w:val="00784164"/>
    <w:rsid w:val="00784755"/>
    <w:rsid w:val="007863E9"/>
    <w:rsid w:val="0078727C"/>
    <w:rsid w:val="0079049D"/>
    <w:rsid w:val="00791DE8"/>
    <w:rsid w:val="00791EF7"/>
    <w:rsid w:val="007938B9"/>
    <w:rsid w:val="00793DC5"/>
    <w:rsid w:val="007A274A"/>
    <w:rsid w:val="007A3162"/>
    <w:rsid w:val="007A322E"/>
    <w:rsid w:val="007A63E3"/>
    <w:rsid w:val="007B1121"/>
    <w:rsid w:val="007B18D8"/>
    <w:rsid w:val="007B29C3"/>
    <w:rsid w:val="007B4A4D"/>
    <w:rsid w:val="007B6CFC"/>
    <w:rsid w:val="007C095F"/>
    <w:rsid w:val="007C289C"/>
    <w:rsid w:val="007D2BE1"/>
    <w:rsid w:val="007E44F4"/>
    <w:rsid w:val="007E50FE"/>
    <w:rsid w:val="007F1AE7"/>
    <w:rsid w:val="0080195C"/>
    <w:rsid w:val="00801FB7"/>
    <w:rsid w:val="008028A4"/>
    <w:rsid w:val="00805B74"/>
    <w:rsid w:val="00813245"/>
    <w:rsid w:val="0082053B"/>
    <w:rsid w:val="0082592B"/>
    <w:rsid w:val="00827599"/>
    <w:rsid w:val="00827A2A"/>
    <w:rsid w:val="008325FA"/>
    <w:rsid w:val="00833EBC"/>
    <w:rsid w:val="00844B1E"/>
    <w:rsid w:val="00846EA0"/>
    <w:rsid w:val="00851331"/>
    <w:rsid w:val="00853B1E"/>
    <w:rsid w:val="008560F3"/>
    <w:rsid w:val="00866F67"/>
    <w:rsid w:val="00867DEA"/>
    <w:rsid w:val="00871C38"/>
    <w:rsid w:val="0087309B"/>
    <w:rsid w:val="008734D6"/>
    <w:rsid w:val="008768CA"/>
    <w:rsid w:val="00877EF9"/>
    <w:rsid w:val="00880559"/>
    <w:rsid w:val="0088240B"/>
    <w:rsid w:val="00883DF0"/>
    <w:rsid w:val="00886856"/>
    <w:rsid w:val="0089249B"/>
    <w:rsid w:val="008A6A41"/>
    <w:rsid w:val="008B043F"/>
    <w:rsid w:val="008B23AB"/>
    <w:rsid w:val="008B5306"/>
    <w:rsid w:val="008B69E2"/>
    <w:rsid w:val="008C203E"/>
    <w:rsid w:val="008C3E05"/>
    <w:rsid w:val="008C492C"/>
    <w:rsid w:val="008C49FD"/>
    <w:rsid w:val="008C4E4D"/>
    <w:rsid w:val="008D2E4D"/>
    <w:rsid w:val="008F2A37"/>
    <w:rsid w:val="008F2BC7"/>
    <w:rsid w:val="008F6EBE"/>
    <w:rsid w:val="0090271F"/>
    <w:rsid w:val="00902DB9"/>
    <w:rsid w:val="0090466A"/>
    <w:rsid w:val="009249C9"/>
    <w:rsid w:val="00935532"/>
    <w:rsid w:val="00936071"/>
    <w:rsid w:val="00937975"/>
    <w:rsid w:val="0094005E"/>
    <w:rsid w:val="009400A5"/>
    <w:rsid w:val="00940212"/>
    <w:rsid w:val="00942EC2"/>
    <w:rsid w:val="00943B20"/>
    <w:rsid w:val="00951DFF"/>
    <w:rsid w:val="00955EFB"/>
    <w:rsid w:val="00961B32"/>
    <w:rsid w:val="00967E0A"/>
    <w:rsid w:val="00970DA9"/>
    <w:rsid w:val="00970DB3"/>
    <w:rsid w:val="00974BB0"/>
    <w:rsid w:val="00982E18"/>
    <w:rsid w:val="009A0AF3"/>
    <w:rsid w:val="009A0EA6"/>
    <w:rsid w:val="009A7429"/>
    <w:rsid w:val="009B07CD"/>
    <w:rsid w:val="009B14D2"/>
    <w:rsid w:val="009B28D2"/>
    <w:rsid w:val="009B4B54"/>
    <w:rsid w:val="009B54AB"/>
    <w:rsid w:val="009C19E9"/>
    <w:rsid w:val="009C57B9"/>
    <w:rsid w:val="009D74A6"/>
    <w:rsid w:val="009E0592"/>
    <w:rsid w:val="009F5316"/>
    <w:rsid w:val="00A05CA5"/>
    <w:rsid w:val="00A07513"/>
    <w:rsid w:val="00A10F02"/>
    <w:rsid w:val="00A204CA"/>
    <w:rsid w:val="00A2382E"/>
    <w:rsid w:val="00A24717"/>
    <w:rsid w:val="00A30B85"/>
    <w:rsid w:val="00A317CA"/>
    <w:rsid w:val="00A31C6F"/>
    <w:rsid w:val="00A419A0"/>
    <w:rsid w:val="00A447F7"/>
    <w:rsid w:val="00A44AF6"/>
    <w:rsid w:val="00A53724"/>
    <w:rsid w:val="00A566B0"/>
    <w:rsid w:val="00A61052"/>
    <w:rsid w:val="00A67AAD"/>
    <w:rsid w:val="00A80B3D"/>
    <w:rsid w:val="00A82346"/>
    <w:rsid w:val="00A87630"/>
    <w:rsid w:val="00A961CA"/>
    <w:rsid w:val="00A9645F"/>
    <w:rsid w:val="00A9671C"/>
    <w:rsid w:val="00AA1553"/>
    <w:rsid w:val="00AB3559"/>
    <w:rsid w:val="00AB3D9F"/>
    <w:rsid w:val="00AB4388"/>
    <w:rsid w:val="00AB4CCA"/>
    <w:rsid w:val="00AC03C8"/>
    <w:rsid w:val="00AC2FE2"/>
    <w:rsid w:val="00AC5A3C"/>
    <w:rsid w:val="00AD0605"/>
    <w:rsid w:val="00AD1E00"/>
    <w:rsid w:val="00AD2C16"/>
    <w:rsid w:val="00AE1D64"/>
    <w:rsid w:val="00AE20F7"/>
    <w:rsid w:val="00AE2608"/>
    <w:rsid w:val="00B05962"/>
    <w:rsid w:val="00B069F0"/>
    <w:rsid w:val="00B15449"/>
    <w:rsid w:val="00B20BAA"/>
    <w:rsid w:val="00B20FC3"/>
    <w:rsid w:val="00B22FB7"/>
    <w:rsid w:val="00B23988"/>
    <w:rsid w:val="00B27303"/>
    <w:rsid w:val="00B34198"/>
    <w:rsid w:val="00B43D67"/>
    <w:rsid w:val="00B47FD1"/>
    <w:rsid w:val="00B516BB"/>
    <w:rsid w:val="00B60A6F"/>
    <w:rsid w:val="00B60E68"/>
    <w:rsid w:val="00B72399"/>
    <w:rsid w:val="00B74104"/>
    <w:rsid w:val="00B74385"/>
    <w:rsid w:val="00B77D08"/>
    <w:rsid w:val="00B84B6B"/>
    <w:rsid w:val="00B87657"/>
    <w:rsid w:val="00B915D5"/>
    <w:rsid w:val="00B92E01"/>
    <w:rsid w:val="00BA1C3C"/>
    <w:rsid w:val="00BB51C3"/>
    <w:rsid w:val="00BC3555"/>
    <w:rsid w:val="00BE63C2"/>
    <w:rsid w:val="00BF06BC"/>
    <w:rsid w:val="00BF3E26"/>
    <w:rsid w:val="00C12B51"/>
    <w:rsid w:val="00C15EF5"/>
    <w:rsid w:val="00C23329"/>
    <w:rsid w:val="00C24650"/>
    <w:rsid w:val="00C2575B"/>
    <w:rsid w:val="00C33079"/>
    <w:rsid w:val="00C40DA4"/>
    <w:rsid w:val="00C44E4D"/>
    <w:rsid w:val="00C51375"/>
    <w:rsid w:val="00C522CC"/>
    <w:rsid w:val="00C54D3B"/>
    <w:rsid w:val="00C55296"/>
    <w:rsid w:val="00C56CF1"/>
    <w:rsid w:val="00C56E38"/>
    <w:rsid w:val="00C56E6A"/>
    <w:rsid w:val="00C718F2"/>
    <w:rsid w:val="00C8117D"/>
    <w:rsid w:val="00C83A13"/>
    <w:rsid w:val="00C9068C"/>
    <w:rsid w:val="00C92967"/>
    <w:rsid w:val="00C9303A"/>
    <w:rsid w:val="00C94117"/>
    <w:rsid w:val="00C9442C"/>
    <w:rsid w:val="00C972CB"/>
    <w:rsid w:val="00CA07ED"/>
    <w:rsid w:val="00CA11B7"/>
    <w:rsid w:val="00CA3D0C"/>
    <w:rsid w:val="00CA654B"/>
    <w:rsid w:val="00CA7074"/>
    <w:rsid w:val="00CB2618"/>
    <w:rsid w:val="00CB3B5D"/>
    <w:rsid w:val="00CB5130"/>
    <w:rsid w:val="00CC2377"/>
    <w:rsid w:val="00CC2CE0"/>
    <w:rsid w:val="00CC4E78"/>
    <w:rsid w:val="00CD13BD"/>
    <w:rsid w:val="00CD2127"/>
    <w:rsid w:val="00CD4C7B"/>
    <w:rsid w:val="00CD5872"/>
    <w:rsid w:val="00CD7A2F"/>
    <w:rsid w:val="00CE3751"/>
    <w:rsid w:val="00CE43E0"/>
    <w:rsid w:val="00CE77F3"/>
    <w:rsid w:val="00CF60CB"/>
    <w:rsid w:val="00D0752E"/>
    <w:rsid w:val="00D253DF"/>
    <w:rsid w:val="00D270D5"/>
    <w:rsid w:val="00D30489"/>
    <w:rsid w:val="00D33BE3"/>
    <w:rsid w:val="00D3792D"/>
    <w:rsid w:val="00D42EE3"/>
    <w:rsid w:val="00D46687"/>
    <w:rsid w:val="00D51500"/>
    <w:rsid w:val="00D52B59"/>
    <w:rsid w:val="00D552CA"/>
    <w:rsid w:val="00D553D2"/>
    <w:rsid w:val="00D55E47"/>
    <w:rsid w:val="00D62E19"/>
    <w:rsid w:val="00D667FE"/>
    <w:rsid w:val="00D67CD1"/>
    <w:rsid w:val="00D738D6"/>
    <w:rsid w:val="00D74A85"/>
    <w:rsid w:val="00D7603F"/>
    <w:rsid w:val="00D80795"/>
    <w:rsid w:val="00D83068"/>
    <w:rsid w:val="00D854BE"/>
    <w:rsid w:val="00D87E00"/>
    <w:rsid w:val="00D9134D"/>
    <w:rsid w:val="00D91B55"/>
    <w:rsid w:val="00D93D72"/>
    <w:rsid w:val="00D96D11"/>
    <w:rsid w:val="00DA408C"/>
    <w:rsid w:val="00DA7A03"/>
    <w:rsid w:val="00DB0DB8"/>
    <w:rsid w:val="00DB1818"/>
    <w:rsid w:val="00DB3521"/>
    <w:rsid w:val="00DB382D"/>
    <w:rsid w:val="00DC309B"/>
    <w:rsid w:val="00DC4DA2"/>
    <w:rsid w:val="00DC535C"/>
    <w:rsid w:val="00DD0FF4"/>
    <w:rsid w:val="00DD3A06"/>
    <w:rsid w:val="00DD3C2C"/>
    <w:rsid w:val="00DD6690"/>
    <w:rsid w:val="00DD6F5A"/>
    <w:rsid w:val="00DE39F9"/>
    <w:rsid w:val="00DF1C0A"/>
    <w:rsid w:val="00DF34F4"/>
    <w:rsid w:val="00E02AFE"/>
    <w:rsid w:val="00E27E3E"/>
    <w:rsid w:val="00E30BA0"/>
    <w:rsid w:val="00E337B1"/>
    <w:rsid w:val="00E33F32"/>
    <w:rsid w:val="00E34F6F"/>
    <w:rsid w:val="00E40D4A"/>
    <w:rsid w:val="00E43DB2"/>
    <w:rsid w:val="00E45021"/>
    <w:rsid w:val="00E471CF"/>
    <w:rsid w:val="00E508CF"/>
    <w:rsid w:val="00E52066"/>
    <w:rsid w:val="00E52E46"/>
    <w:rsid w:val="00E5668F"/>
    <w:rsid w:val="00E62835"/>
    <w:rsid w:val="00E704A8"/>
    <w:rsid w:val="00E738ED"/>
    <w:rsid w:val="00E77645"/>
    <w:rsid w:val="00E77ED9"/>
    <w:rsid w:val="00E83697"/>
    <w:rsid w:val="00E84883"/>
    <w:rsid w:val="00E87F5C"/>
    <w:rsid w:val="00E9045F"/>
    <w:rsid w:val="00EA6C6E"/>
    <w:rsid w:val="00EB0FDA"/>
    <w:rsid w:val="00EC4A25"/>
    <w:rsid w:val="00ED2DCB"/>
    <w:rsid w:val="00EE38AB"/>
    <w:rsid w:val="00EF5DD1"/>
    <w:rsid w:val="00EF5F32"/>
    <w:rsid w:val="00F022E0"/>
    <w:rsid w:val="00F025A2"/>
    <w:rsid w:val="00F025DF"/>
    <w:rsid w:val="00F07388"/>
    <w:rsid w:val="00F10357"/>
    <w:rsid w:val="00F1112B"/>
    <w:rsid w:val="00F14260"/>
    <w:rsid w:val="00F16BC2"/>
    <w:rsid w:val="00F17EA3"/>
    <w:rsid w:val="00F2026E"/>
    <w:rsid w:val="00F21392"/>
    <w:rsid w:val="00F2210A"/>
    <w:rsid w:val="00F23927"/>
    <w:rsid w:val="00F268E1"/>
    <w:rsid w:val="00F275B7"/>
    <w:rsid w:val="00F35EE2"/>
    <w:rsid w:val="00F37743"/>
    <w:rsid w:val="00F52028"/>
    <w:rsid w:val="00F542AE"/>
    <w:rsid w:val="00F54A3D"/>
    <w:rsid w:val="00F54CB0"/>
    <w:rsid w:val="00F55206"/>
    <w:rsid w:val="00F55A09"/>
    <w:rsid w:val="00F62B8E"/>
    <w:rsid w:val="00F653B8"/>
    <w:rsid w:val="00F71B89"/>
    <w:rsid w:val="00F7353C"/>
    <w:rsid w:val="00F76F8F"/>
    <w:rsid w:val="00F8424F"/>
    <w:rsid w:val="00F874D3"/>
    <w:rsid w:val="00F91A6B"/>
    <w:rsid w:val="00F92E61"/>
    <w:rsid w:val="00F943A0"/>
    <w:rsid w:val="00FA1266"/>
    <w:rsid w:val="00FA7863"/>
    <w:rsid w:val="00FB2F04"/>
    <w:rsid w:val="00FB36FA"/>
    <w:rsid w:val="00FB677F"/>
    <w:rsid w:val="00FC078E"/>
    <w:rsid w:val="00FC1192"/>
    <w:rsid w:val="00FC44B5"/>
    <w:rsid w:val="00FC5C64"/>
    <w:rsid w:val="00FD07F9"/>
    <w:rsid w:val="00FD114F"/>
    <w:rsid w:val="00FD3EFD"/>
    <w:rsid w:val="00FE0872"/>
    <w:rsid w:val="00FE1869"/>
    <w:rsid w:val="00FE251B"/>
    <w:rsid w:val="00FE5D6E"/>
    <w:rsid w:val="00FF02B4"/>
    <w:rsid w:val="00FF0C03"/>
    <w:rsid w:val="46C4DE92"/>
    <w:rsid w:val="6AC5AE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366DF510-A0AE-4140-8678-3C9D9695A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BodyText">
    <w:name w:val="Body Text"/>
    <w:basedOn w:val="Normal"/>
    <w:link w:val="BodyTextChar"/>
    <w:rsid w:val="00FA7863"/>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basedOn w:val="DefaultParagraphFont"/>
    <w:link w:val="BodyText"/>
    <w:rsid w:val="00FA7863"/>
    <w:rPr>
      <w:rFonts w:ascii="Arial" w:eastAsiaTheme="minorEastAsia" w:hAnsi="Arial"/>
      <w:lang w:eastAsia="zh-CN"/>
    </w:rPr>
  </w:style>
  <w:style w:type="paragraph" w:customStyle="1" w:styleId="Proposal">
    <w:name w:val="Proposal"/>
    <w:basedOn w:val="Normal"/>
    <w:rsid w:val="00591DDC"/>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efault">
    <w:name w:val="Default"/>
    <w:rsid w:val="00100D05"/>
    <w:pPr>
      <w:widowControl w:val="0"/>
      <w:autoSpaceDE w:val="0"/>
      <w:autoSpaceDN w:val="0"/>
      <w:adjustRightInd w:val="0"/>
    </w:pPr>
    <w:rPr>
      <w:rFonts w:ascii="Arial" w:hAnsi="Arial" w:cs="Arial"/>
      <w:color w:val="000000"/>
      <w:sz w:val="24"/>
      <w:szCs w:val="24"/>
      <w:lang w:val="en-US"/>
    </w:rPr>
  </w:style>
  <w:style w:type="paragraph" w:styleId="Caption">
    <w:name w:val="caption"/>
    <w:basedOn w:val="Normal"/>
    <w:next w:val="Normal"/>
    <w:qFormat/>
    <w:rsid w:val="00E5668F"/>
    <w:pPr>
      <w:overflowPunct w:val="0"/>
      <w:autoSpaceDE w:val="0"/>
      <w:autoSpaceDN w:val="0"/>
      <w:adjustRightInd w:val="0"/>
      <w:spacing w:before="120" w:after="120"/>
      <w:textAlignment w:val="baseline"/>
    </w:pPr>
    <w:rPr>
      <w:rFonts w:eastAsia="Times New Roman"/>
      <w:b/>
      <w:lang w:val="en-US" w:eastAsia="en-GB"/>
    </w:rPr>
  </w:style>
  <w:style w:type="character" w:customStyle="1" w:styleId="st1">
    <w:name w:val="st1"/>
    <w:basedOn w:val="DefaultParagraphFont"/>
    <w:rsid w:val="00DE39F9"/>
  </w:style>
  <w:style w:type="paragraph" w:customStyle="1" w:styleId="Reference">
    <w:name w:val="Reference"/>
    <w:basedOn w:val="Normal"/>
    <w:link w:val="ReferenceChar"/>
    <w:rsid w:val="003A3B07"/>
    <w:pPr>
      <w:numPr>
        <w:numId w:val="12"/>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ReferenceChar">
    <w:name w:val="Reference Char"/>
    <w:link w:val="Reference"/>
    <w:rsid w:val="003A3B07"/>
    <w:rPr>
      <w:rFonts w:ascii="Arial" w:eastAsiaTheme="minorEastAsia" w:hAnsi="Arial"/>
      <w:lang w:eastAsia="zh-CN"/>
    </w:rPr>
  </w:style>
  <w:style w:type="character" w:styleId="CommentReference">
    <w:name w:val="annotation reference"/>
    <w:basedOn w:val="DefaultParagraphFont"/>
    <w:rsid w:val="002703B1"/>
    <w:rPr>
      <w:sz w:val="21"/>
      <w:szCs w:val="21"/>
    </w:rPr>
  </w:style>
  <w:style w:type="paragraph" w:styleId="CommentText">
    <w:name w:val="annotation text"/>
    <w:basedOn w:val="Normal"/>
    <w:link w:val="CommentTextChar"/>
    <w:rsid w:val="002703B1"/>
  </w:style>
  <w:style w:type="character" w:customStyle="1" w:styleId="CommentTextChar">
    <w:name w:val="Comment Text Char"/>
    <w:basedOn w:val="DefaultParagraphFont"/>
    <w:link w:val="CommentText"/>
    <w:rsid w:val="002703B1"/>
    <w:rPr>
      <w:lang w:eastAsia="en-US"/>
    </w:rPr>
  </w:style>
  <w:style w:type="paragraph" w:styleId="CommentSubject">
    <w:name w:val="annotation subject"/>
    <w:basedOn w:val="CommentText"/>
    <w:next w:val="CommentText"/>
    <w:link w:val="CommentSubjectChar"/>
    <w:rsid w:val="002703B1"/>
    <w:rPr>
      <w:b/>
      <w:bCs/>
    </w:rPr>
  </w:style>
  <w:style w:type="character" w:customStyle="1" w:styleId="CommentSubjectChar">
    <w:name w:val="Comment Subject Char"/>
    <w:basedOn w:val="CommentTextChar"/>
    <w:link w:val="CommentSubject"/>
    <w:rsid w:val="002703B1"/>
    <w:rPr>
      <w:b/>
      <w:bCs/>
      <w:lang w:eastAsia="en-US"/>
    </w:rPr>
  </w:style>
  <w:style w:type="paragraph" w:styleId="ListParagraph">
    <w:name w:val="List Paragraph"/>
    <w:aliases w:val="- Bullets,列出段落,Lista1,?? ??,?????,????,목록 단락,リスト段落"/>
    <w:basedOn w:val="Normal"/>
    <w:link w:val="ListParagraphChar"/>
    <w:uiPriority w:val="34"/>
    <w:qFormat/>
    <w:rsid w:val="0037134A"/>
    <w:pPr>
      <w:spacing w:after="0"/>
      <w:ind w:left="720"/>
      <w:contextualSpacing/>
    </w:pPr>
    <w:rPr>
      <w:rFonts w:eastAsia="Times New Roman"/>
      <w:sz w:val="24"/>
      <w:szCs w:val="24"/>
      <w:lang w:val="da-DK" w:eastAsia="da-DK"/>
    </w:rPr>
  </w:style>
  <w:style w:type="character" w:customStyle="1" w:styleId="ListParagraphChar">
    <w:name w:val="List Paragraph Char"/>
    <w:aliases w:val="- Bullets Char,列出段落 Char,Lista1 Char,?? ?? Char,????? Char,???? Char,목록 단락 Char,リスト段落 Char"/>
    <w:basedOn w:val="DefaultParagraphFont"/>
    <w:link w:val="ListParagraph"/>
    <w:uiPriority w:val="34"/>
    <w:qFormat/>
    <w:locked/>
    <w:rsid w:val="00C56CF1"/>
    <w:rPr>
      <w:rFonts w:eastAsia="Times New Roman"/>
      <w:sz w:val="24"/>
      <w:szCs w:val="24"/>
      <w:lang w:val="da-DK" w:eastAsia="da-DK"/>
    </w:rPr>
  </w:style>
  <w:style w:type="paragraph" w:customStyle="1" w:styleId="Doc-text2">
    <w:name w:val="Doc-text2"/>
    <w:basedOn w:val="Normal"/>
    <w:link w:val="Doc-text2Char"/>
    <w:qFormat/>
    <w:rsid w:val="0006163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61637"/>
    <w:rPr>
      <w:rFonts w:ascii="Arial" w:eastAsia="MS Mincho" w:hAnsi="Arial"/>
      <w:szCs w:val="24"/>
    </w:rPr>
  </w:style>
  <w:style w:type="character" w:customStyle="1" w:styleId="Doc-titleChar">
    <w:name w:val="Doc-title Char"/>
    <w:link w:val="Doc-title"/>
    <w:locked/>
    <w:rsid w:val="00061637"/>
    <w:rPr>
      <w:rFonts w:ascii="Arial" w:eastAsia="MS Mincho" w:hAnsi="Arial" w:cs="Arial"/>
      <w:szCs w:val="24"/>
    </w:rPr>
  </w:style>
  <w:style w:type="paragraph" w:customStyle="1" w:styleId="Doc-title">
    <w:name w:val="Doc-title"/>
    <w:basedOn w:val="Normal"/>
    <w:next w:val="Doc-text2"/>
    <w:link w:val="Doc-titleChar"/>
    <w:qFormat/>
    <w:rsid w:val="00061637"/>
    <w:pPr>
      <w:spacing w:before="180" w:after="0"/>
      <w:ind w:left="1259" w:hanging="1259"/>
    </w:pPr>
    <w:rPr>
      <w:rFonts w:ascii="Arial" w:eastAsia="MS Mincho" w:hAnsi="Arial" w:cs="Arial"/>
      <w:szCs w:val="24"/>
      <w:lang w:eastAsia="en-GB"/>
    </w:rPr>
  </w:style>
  <w:style w:type="paragraph" w:customStyle="1" w:styleId="Agreement">
    <w:name w:val="Agreement"/>
    <w:basedOn w:val="Normal"/>
    <w:next w:val="Doc-text2"/>
    <w:qFormat/>
    <w:rsid w:val="00B87657"/>
    <w:pPr>
      <w:numPr>
        <w:numId w:val="25"/>
      </w:numPr>
      <w:overflowPunct w:val="0"/>
      <w:autoSpaceDE w:val="0"/>
      <w:autoSpaceDN w:val="0"/>
      <w:adjustRightInd w:val="0"/>
      <w:spacing w:before="60"/>
      <w:textAlignment w:val="baseline"/>
    </w:pPr>
    <w:rPr>
      <w:rFonts w:ascii="Arial" w:eastAsia="Times New Roman" w:hAnsi="Arial"/>
      <w:b/>
      <w:lang w:eastAsia="ja-JP"/>
    </w:rPr>
  </w:style>
  <w:style w:type="paragraph" w:customStyle="1" w:styleId="EmailDiscussion">
    <w:name w:val="EmailDiscussion"/>
    <w:basedOn w:val="Normal"/>
    <w:next w:val="EmailDiscussion2"/>
    <w:link w:val="EmailDiscussionChar"/>
    <w:rsid w:val="00394A2E"/>
    <w:pPr>
      <w:numPr>
        <w:numId w:val="26"/>
      </w:numPr>
      <w:spacing w:before="40" w:after="0"/>
    </w:pPr>
    <w:rPr>
      <w:rFonts w:ascii="Arial" w:eastAsia="MS Mincho" w:hAnsi="Arial"/>
      <w:b/>
      <w:szCs w:val="24"/>
      <w:lang w:eastAsia="en-GB"/>
    </w:rPr>
  </w:style>
  <w:style w:type="character" w:customStyle="1" w:styleId="EmailDiscussionChar">
    <w:name w:val="EmailDiscussion Char"/>
    <w:link w:val="EmailDiscussion"/>
    <w:rsid w:val="00394A2E"/>
    <w:rPr>
      <w:rFonts w:ascii="Arial" w:eastAsia="MS Mincho" w:hAnsi="Arial"/>
      <w:b/>
      <w:szCs w:val="24"/>
    </w:rPr>
  </w:style>
  <w:style w:type="paragraph" w:customStyle="1" w:styleId="EmailDiscussion2">
    <w:name w:val="EmailDiscussion2"/>
    <w:basedOn w:val="Doc-text2"/>
    <w:qFormat/>
    <w:rsid w:val="00394A2E"/>
  </w:style>
  <w:style w:type="table" w:styleId="TableGrid">
    <w:name w:val="Table Grid"/>
    <w:basedOn w:val="TableNormal"/>
    <w:rsid w:val="009A742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locked/>
    <w:rsid w:val="003033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405556">
      <w:bodyDiv w:val="1"/>
      <w:marLeft w:val="0"/>
      <w:marRight w:val="0"/>
      <w:marTop w:val="0"/>
      <w:marBottom w:val="0"/>
      <w:divBdr>
        <w:top w:val="none" w:sz="0" w:space="0" w:color="auto"/>
        <w:left w:val="none" w:sz="0" w:space="0" w:color="auto"/>
        <w:bottom w:val="none" w:sz="0" w:space="0" w:color="auto"/>
        <w:right w:val="none" w:sz="0" w:space="0" w:color="auto"/>
      </w:divBdr>
      <w:divsChild>
        <w:div w:id="842017165">
          <w:marLeft w:val="360"/>
          <w:marRight w:val="0"/>
          <w:marTop w:val="0"/>
          <w:marBottom w:val="120"/>
          <w:divBdr>
            <w:top w:val="none" w:sz="0" w:space="0" w:color="auto"/>
            <w:left w:val="none" w:sz="0" w:space="0" w:color="auto"/>
            <w:bottom w:val="none" w:sz="0" w:space="0" w:color="auto"/>
            <w:right w:val="none" w:sz="0" w:space="0" w:color="auto"/>
          </w:divBdr>
        </w:div>
        <w:div w:id="719204652">
          <w:marLeft w:val="720"/>
          <w:marRight w:val="0"/>
          <w:marTop w:val="0"/>
          <w:marBottom w:val="120"/>
          <w:divBdr>
            <w:top w:val="none" w:sz="0" w:space="0" w:color="auto"/>
            <w:left w:val="none" w:sz="0" w:space="0" w:color="auto"/>
            <w:bottom w:val="none" w:sz="0" w:space="0" w:color="auto"/>
            <w:right w:val="none" w:sz="0" w:space="0" w:color="auto"/>
          </w:divBdr>
        </w:div>
      </w:divsChild>
    </w:div>
    <w:div w:id="143661572">
      <w:bodyDiv w:val="1"/>
      <w:marLeft w:val="0"/>
      <w:marRight w:val="0"/>
      <w:marTop w:val="0"/>
      <w:marBottom w:val="0"/>
      <w:divBdr>
        <w:top w:val="none" w:sz="0" w:space="0" w:color="auto"/>
        <w:left w:val="none" w:sz="0" w:space="0" w:color="auto"/>
        <w:bottom w:val="none" w:sz="0" w:space="0" w:color="auto"/>
        <w:right w:val="none" w:sz="0" w:space="0" w:color="auto"/>
      </w:divBdr>
    </w:div>
    <w:div w:id="269318924">
      <w:bodyDiv w:val="1"/>
      <w:marLeft w:val="0"/>
      <w:marRight w:val="0"/>
      <w:marTop w:val="0"/>
      <w:marBottom w:val="0"/>
      <w:divBdr>
        <w:top w:val="none" w:sz="0" w:space="0" w:color="auto"/>
        <w:left w:val="none" w:sz="0" w:space="0" w:color="auto"/>
        <w:bottom w:val="none" w:sz="0" w:space="0" w:color="auto"/>
        <w:right w:val="none" w:sz="0" w:space="0" w:color="auto"/>
      </w:divBdr>
    </w:div>
    <w:div w:id="307827193">
      <w:bodyDiv w:val="1"/>
      <w:marLeft w:val="0"/>
      <w:marRight w:val="0"/>
      <w:marTop w:val="0"/>
      <w:marBottom w:val="0"/>
      <w:divBdr>
        <w:top w:val="none" w:sz="0" w:space="0" w:color="auto"/>
        <w:left w:val="none" w:sz="0" w:space="0" w:color="auto"/>
        <w:bottom w:val="none" w:sz="0" w:space="0" w:color="auto"/>
        <w:right w:val="none" w:sz="0" w:space="0" w:color="auto"/>
      </w:divBdr>
    </w:div>
    <w:div w:id="453645654">
      <w:bodyDiv w:val="1"/>
      <w:marLeft w:val="0"/>
      <w:marRight w:val="0"/>
      <w:marTop w:val="0"/>
      <w:marBottom w:val="0"/>
      <w:divBdr>
        <w:top w:val="none" w:sz="0" w:space="0" w:color="auto"/>
        <w:left w:val="none" w:sz="0" w:space="0" w:color="auto"/>
        <w:bottom w:val="none" w:sz="0" w:space="0" w:color="auto"/>
        <w:right w:val="none" w:sz="0" w:space="0" w:color="auto"/>
      </w:divBdr>
    </w:div>
    <w:div w:id="497427595">
      <w:bodyDiv w:val="1"/>
      <w:marLeft w:val="0"/>
      <w:marRight w:val="0"/>
      <w:marTop w:val="0"/>
      <w:marBottom w:val="0"/>
      <w:divBdr>
        <w:top w:val="none" w:sz="0" w:space="0" w:color="auto"/>
        <w:left w:val="none" w:sz="0" w:space="0" w:color="auto"/>
        <w:bottom w:val="none" w:sz="0" w:space="0" w:color="auto"/>
        <w:right w:val="none" w:sz="0" w:space="0" w:color="auto"/>
      </w:divBdr>
      <w:divsChild>
        <w:div w:id="1140461694">
          <w:marLeft w:val="274"/>
          <w:marRight w:val="0"/>
          <w:marTop w:val="0"/>
          <w:marBottom w:val="120"/>
          <w:divBdr>
            <w:top w:val="none" w:sz="0" w:space="0" w:color="auto"/>
            <w:left w:val="none" w:sz="0" w:space="0" w:color="auto"/>
            <w:bottom w:val="none" w:sz="0" w:space="0" w:color="auto"/>
            <w:right w:val="none" w:sz="0" w:space="0" w:color="auto"/>
          </w:divBdr>
        </w:div>
        <w:div w:id="42145915">
          <w:marLeft w:val="274"/>
          <w:marRight w:val="0"/>
          <w:marTop w:val="0"/>
          <w:marBottom w:val="120"/>
          <w:divBdr>
            <w:top w:val="none" w:sz="0" w:space="0" w:color="auto"/>
            <w:left w:val="none" w:sz="0" w:space="0" w:color="auto"/>
            <w:bottom w:val="none" w:sz="0" w:space="0" w:color="auto"/>
            <w:right w:val="none" w:sz="0" w:space="0" w:color="auto"/>
          </w:divBdr>
        </w:div>
        <w:div w:id="1356810729">
          <w:marLeft w:val="562"/>
          <w:marRight w:val="0"/>
          <w:marTop w:val="0"/>
          <w:marBottom w:val="120"/>
          <w:divBdr>
            <w:top w:val="none" w:sz="0" w:space="0" w:color="auto"/>
            <w:left w:val="none" w:sz="0" w:space="0" w:color="auto"/>
            <w:bottom w:val="none" w:sz="0" w:space="0" w:color="auto"/>
            <w:right w:val="none" w:sz="0" w:space="0" w:color="auto"/>
          </w:divBdr>
        </w:div>
        <w:div w:id="528762189">
          <w:marLeft w:val="936"/>
          <w:marRight w:val="0"/>
          <w:marTop w:val="0"/>
          <w:marBottom w:val="120"/>
          <w:divBdr>
            <w:top w:val="none" w:sz="0" w:space="0" w:color="auto"/>
            <w:left w:val="none" w:sz="0" w:space="0" w:color="auto"/>
            <w:bottom w:val="none" w:sz="0" w:space="0" w:color="auto"/>
            <w:right w:val="none" w:sz="0" w:space="0" w:color="auto"/>
          </w:divBdr>
        </w:div>
        <w:div w:id="1564560413">
          <w:marLeft w:val="562"/>
          <w:marRight w:val="0"/>
          <w:marTop w:val="0"/>
          <w:marBottom w:val="120"/>
          <w:divBdr>
            <w:top w:val="none" w:sz="0" w:space="0" w:color="auto"/>
            <w:left w:val="none" w:sz="0" w:space="0" w:color="auto"/>
            <w:bottom w:val="none" w:sz="0" w:space="0" w:color="auto"/>
            <w:right w:val="none" w:sz="0" w:space="0" w:color="auto"/>
          </w:divBdr>
        </w:div>
      </w:divsChild>
    </w:div>
    <w:div w:id="589588228">
      <w:bodyDiv w:val="1"/>
      <w:marLeft w:val="0"/>
      <w:marRight w:val="0"/>
      <w:marTop w:val="0"/>
      <w:marBottom w:val="0"/>
      <w:divBdr>
        <w:top w:val="none" w:sz="0" w:space="0" w:color="auto"/>
        <w:left w:val="none" w:sz="0" w:space="0" w:color="auto"/>
        <w:bottom w:val="none" w:sz="0" w:space="0" w:color="auto"/>
        <w:right w:val="none" w:sz="0" w:space="0" w:color="auto"/>
      </w:divBdr>
      <w:divsChild>
        <w:div w:id="605045902">
          <w:marLeft w:val="274"/>
          <w:marRight w:val="0"/>
          <w:marTop w:val="0"/>
          <w:marBottom w:val="0"/>
          <w:divBdr>
            <w:top w:val="none" w:sz="0" w:space="0" w:color="auto"/>
            <w:left w:val="none" w:sz="0" w:space="0" w:color="auto"/>
            <w:bottom w:val="none" w:sz="0" w:space="0" w:color="auto"/>
            <w:right w:val="none" w:sz="0" w:space="0" w:color="auto"/>
          </w:divBdr>
        </w:div>
      </w:divsChild>
    </w:div>
    <w:div w:id="638075710">
      <w:bodyDiv w:val="1"/>
      <w:marLeft w:val="0"/>
      <w:marRight w:val="0"/>
      <w:marTop w:val="0"/>
      <w:marBottom w:val="0"/>
      <w:divBdr>
        <w:top w:val="none" w:sz="0" w:space="0" w:color="auto"/>
        <w:left w:val="none" w:sz="0" w:space="0" w:color="auto"/>
        <w:bottom w:val="none" w:sz="0" w:space="0" w:color="auto"/>
        <w:right w:val="none" w:sz="0" w:space="0" w:color="auto"/>
      </w:divBdr>
    </w:div>
    <w:div w:id="64613375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3421376">
      <w:bodyDiv w:val="1"/>
      <w:marLeft w:val="0"/>
      <w:marRight w:val="0"/>
      <w:marTop w:val="0"/>
      <w:marBottom w:val="0"/>
      <w:divBdr>
        <w:top w:val="none" w:sz="0" w:space="0" w:color="auto"/>
        <w:left w:val="none" w:sz="0" w:space="0" w:color="auto"/>
        <w:bottom w:val="none" w:sz="0" w:space="0" w:color="auto"/>
        <w:right w:val="none" w:sz="0" w:space="0" w:color="auto"/>
      </w:divBdr>
      <w:divsChild>
        <w:div w:id="917062118">
          <w:marLeft w:val="360"/>
          <w:marRight w:val="0"/>
          <w:marTop w:val="0"/>
          <w:marBottom w:val="120"/>
          <w:divBdr>
            <w:top w:val="none" w:sz="0" w:space="0" w:color="auto"/>
            <w:left w:val="none" w:sz="0" w:space="0" w:color="auto"/>
            <w:bottom w:val="none" w:sz="0" w:space="0" w:color="auto"/>
            <w:right w:val="none" w:sz="0" w:space="0" w:color="auto"/>
          </w:divBdr>
        </w:div>
      </w:divsChild>
    </w:div>
    <w:div w:id="969364333">
      <w:bodyDiv w:val="1"/>
      <w:marLeft w:val="0"/>
      <w:marRight w:val="0"/>
      <w:marTop w:val="0"/>
      <w:marBottom w:val="0"/>
      <w:divBdr>
        <w:top w:val="none" w:sz="0" w:space="0" w:color="auto"/>
        <w:left w:val="none" w:sz="0" w:space="0" w:color="auto"/>
        <w:bottom w:val="none" w:sz="0" w:space="0" w:color="auto"/>
        <w:right w:val="none" w:sz="0" w:space="0" w:color="auto"/>
      </w:divBdr>
    </w:div>
    <w:div w:id="1164976290">
      <w:bodyDiv w:val="1"/>
      <w:marLeft w:val="0"/>
      <w:marRight w:val="0"/>
      <w:marTop w:val="0"/>
      <w:marBottom w:val="0"/>
      <w:divBdr>
        <w:top w:val="none" w:sz="0" w:space="0" w:color="auto"/>
        <w:left w:val="none" w:sz="0" w:space="0" w:color="auto"/>
        <w:bottom w:val="none" w:sz="0" w:space="0" w:color="auto"/>
        <w:right w:val="none" w:sz="0" w:space="0" w:color="auto"/>
      </w:divBdr>
      <w:divsChild>
        <w:div w:id="765493043">
          <w:marLeft w:val="274"/>
          <w:marRight w:val="0"/>
          <w:marTop w:val="0"/>
          <w:marBottom w:val="120"/>
          <w:divBdr>
            <w:top w:val="none" w:sz="0" w:space="0" w:color="auto"/>
            <w:left w:val="none" w:sz="0" w:space="0" w:color="auto"/>
            <w:bottom w:val="none" w:sz="0" w:space="0" w:color="auto"/>
            <w:right w:val="none" w:sz="0" w:space="0" w:color="auto"/>
          </w:divBdr>
        </w:div>
        <w:div w:id="879903906">
          <w:marLeft w:val="274"/>
          <w:marRight w:val="0"/>
          <w:marTop w:val="0"/>
          <w:marBottom w:val="120"/>
          <w:divBdr>
            <w:top w:val="none" w:sz="0" w:space="0" w:color="auto"/>
            <w:left w:val="none" w:sz="0" w:space="0" w:color="auto"/>
            <w:bottom w:val="none" w:sz="0" w:space="0" w:color="auto"/>
            <w:right w:val="none" w:sz="0" w:space="0" w:color="auto"/>
          </w:divBdr>
        </w:div>
        <w:div w:id="88893508">
          <w:marLeft w:val="562"/>
          <w:marRight w:val="0"/>
          <w:marTop w:val="0"/>
          <w:marBottom w:val="120"/>
          <w:divBdr>
            <w:top w:val="none" w:sz="0" w:space="0" w:color="auto"/>
            <w:left w:val="none" w:sz="0" w:space="0" w:color="auto"/>
            <w:bottom w:val="none" w:sz="0" w:space="0" w:color="auto"/>
            <w:right w:val="none" w:sz="0" w:space="0" w:color="auto"/>
          </w:divBdr>
        </w:div>
        <w:div w:id="1016032968">
          <w:marLeft w:val="936"/>
          <w:marRight w:val="0"/>
          <w:marTop w:val="0"/>
          <w:marBottom w:val="120"/>
          <w:divBdr>
            <w:top w:val="none" w:sz="0" w:space="0" w:color="auto"/>
            <w:left w:val="none" w:sz="0" w:space="0" w:color="auto"/>
            <w:bottom w:val="none" w:sz="0" w:space="0" w:color="auto"/>
            <w:right w:val="none" w:sz="0" w:space="0" w:color="auto"/>
          </w:divBdr>
        </w:div>
        <w:div w:id="657660408">
          <w:marLeft w:val="562"/>
          <w:marRight w:val="0"/>
          <w:marTop w:val="0"/>
          <w:marBottom w:val="120"/>
          <w:divBdr>
            <w:top w:val="none" w:sz="0" w:space="0" w:color="auto"/>
            <w:left w:val="none" w:sz="0" w:space="0" w:color="auto"/>
            <w:bottom w:val="none" w:sz="0" w:space="0" w:color="auto"/>
            <w:right w:val="none" w:sz="0" w:space="0" w:color="auto"/>
          </w:divBdr>
        </w:div>
      </w:divsChild>
    </w:div>
    <w:div w:id="1210073637">
      <w:bodyDiv w:val="1"/>
      <w:marLeft w:val="0"/>
      <w:marRight w:val="0"/>
      <w:marTop w:val="0"/>
      <w:marBottom w:val="0"/>
      <w:divBdr>
        <w:top w:val="none" w:sz="0" w:space="0" w:color="auto"/>
        <w:left w:val="none" w:sz="0" w:space="0" w:color="auto"/>
        <w:bottom w:val="none" w:sz="0" w:space="0" w:color="auto"/>
        <w:right w:val="none" w:sz="0" w:space="0" w:color="auto"/>
      </w:divBdr>
      <w:divsChild>
        <w:div w:id="1924219737">
          <w:marLeft w:val="274"/>
          <w:marRight w:val="0"/>
          <w:marTop w:val="0"/>
          <w:marBottom w:val="0"/>
          <w:divBdr>
            <w:top w:val="none" w:sz="0" w:space="0" w:color="auto"/>
            <w:left w:val="none" w:sz="0" w:space="0" w:color="auto"/>
            <w:bottom w:val="none" w:sz="0" w:space="0" w:color="auto"/>
            <w:right w:val="none" w:sz="0" w:space="0" w:color="auto"/>
          </w:divBdr>
        </w:div>
        <w:div w:id="654530936">
          <w:marLeft w:val="274"/>
          <w:marRight w:val="0"/>
          <w:marTop w:val="0"/>
          <w:marBottom w:val="0"/>
          <w:divBdr>
            <w:top w:val="none" w:sz="0" w:space="0" w:color="auto"/>
            <w:left w:val="none" w:sz="0" w:space="0" w:color="auto"/>
            <w:bottom w:val="none" w:sz="0" w:space="0" w:color="auto"/>
            <w:right w:val="none" w:sz="0" w:space="0" w:color="auto"/>
          </w:divBdr>
        </w:div>
        <w:div w:id="1642535816">
          <w:marLeft w:val="274"/>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0144279">
      <w:bodyDiv w:val="1"/>
      <w:marLeft w:val="0"/>
      <w:marRight w:val="0"/>
      <w:marTop w:val="0"/>
      <w:marBottom w:val="0"/>
      <w:divBdr>
        <w:top w:val="none" w:sz="0" w:space="0" w:color="auto"/>
        <w:left w:val="none" w:sz="0" w:space="0" w:color="auto"/>
        <w:bottom w:val="none" w:sz="0" w:space="0" w:color="auto"/>
        <w:right w:val="none" w:sz="0" w:space="0" w:color="auto"/>
      </w:divBdr>
      <w:divsChild>
        <w:div w:id="911084185">
          <w:marLeft w:val="1166"/>
          <w:marRight w:val="0"/>
          <w:marTop w:val="60"/>
          <w:marBottom w:val="120"/>
          <w:divBdr>
            <w:top w:val="none" w:sz="0" w:space="0" w:color="auto"/>
            <w:left w:val="none" w:sz="0" w:space="0" w:color="auto"/>
            <w:bottom w:val="none" w:sz="0" w:space="0" w:color="auto"/>
            <w:right w:val="none" w:sz="0" w:space="0" w:color="auto"/>
          </w:divBdr>
        </w:div>
        <w:div w:id="101344115">
          <w:marLeft w:val="1800"/>
          <w:marRight w:val="0"/>
          <w:marTop w:val="60"/>
          <w:marBottom w:val="120"/>
          <w:divBdr>
            <w:top w:val="none" w:sz="0" w:space="0" w:color="auto"/>
            <w:left w:val="none" w:sz="0" w:space="0" w:color="auto"/>
            <w:bottom w:val="none" w:sz="0" w:space="0" w:color="auto"/>
            <w:right w:val="none" w:sz="0" w:space="0" w:color="auto"/>
          </w:divBdr>
        </w:div>
        <w:div w:id="478348228">
          <w:marLeft w:val="1166"/>
          <w:marRight w:val="0"/>
          <w:marTop w:val="60"/>
          <w:marBottom w:val="120"/>
          <w:divBdr>
            <w:top w:val="none" w:sz="0" w:space="0" w:color="auto"/>
            <w:left w:val="none" w:sz="0" w:space="0" w:color="auto"/>
            <w:bottom w:val="none" w:sz="0" w:space="0" w:color="auto"/>
            <w:right w:val="none" w:sz="0" w:space="0" w:color="auto"/>
          </w:divBdr>
        </w:div>
        <w:div w:id="586574747">
          <w:marLeft w:val="1800"/>
          <w:marRight w:val="0"/>
          <w:marTop w:val="60"/>
          <w:marBottom w:val="120"/>
          <w:divBdr>
            <w:top w:val="none" w:sz="0" w:space="0" w:color="auto"/>
            <w:left w:val="none" w:sz="0" w:space="0" w:color="auto"/>
            <w:bottom w:val="none" w:sz="0" w:space="0" w:color="auto"/>
            <w:right w:val="none" w:sz="0" w:space="0" w:color="auto"/>
          </w:divBdr>
        </w:div>
        <w:div w:id="1993757170">
          <w:marLeft w:val="1800"/>
          <w:marRight w:val="0"/>
          <w:marTop w:val="60"/>
          <w:marBottom w:val="120"/>
          <w:divBdr>
            <w:top w:val="none" w:sz="0" w:space="0" w:color="auto"/>
            <w:left w:val="none" w:sz="0" w:space="0" w:color="auto"/>
            <w:bottom w:val="none" w:sz="0" w:space="0" w:color="auto"/>
            <w:right w:val="none" w:sz="0" w:space="0" w:color="auto"/>
          </w:divBdr>
        </w:div>
      </w:divsChild>
    </w:div>
    <w:div w:id="1296064691">
      <w:bodyDiv w:val="1"/>
      <w:marLeft w:val="0"/>
      <w:marRight w:val="0"/>
      <w:marTop w:val="0"/>
      <w:marBottom w:val="0"/>
      <w:divBdr>
        <w:top w:val="none" w:sz="0" w:space="0" w:color="auto"/>
        <w:left w:val="none" w:sz="0" w:space="0" w:color="auto"/>
        <w:bottom w:val="none" w:sz="0" w:space="0" w:color="auto"/>
        <w:right w:val="none" w:sz="0" w:space="0" w:color="auto"/>
      </w:divBdr>
    </w:div>
    <w:div w:id="1949661481">
      <w:bodyDiv w:val="1"/>
      <w:marLeft w:val="0"/>
      <w:marRight w:val="0"/>
      <w:marTop w:val="0"/>
      <w:marBottom w:val="0"/>
      <w:divBdr>
        <w:top w:val="none" w:sz="0" w:space="0" w:color="auto"/>
        <w:left w:val="none" w:sz="0" w:space="0" w:color="auto"/>
        <w:bottom w:val="none" w:sz="0" w:space="0" w:color="auto"/>
        <w:right w:val="none" w:sz="0" w:space="0" w:color="auto"/>
      </w:divBdr>
      <w:divsChild>
        <w:div w:id="1086343385">
          <w:marLeft w:val="274"/>
          <w:marRight w:val="0"/>
          <w:marTop w:val="0"/>
          <w:marBottom w:val="120"/>
          <w:divBdr>
            <w:top w:val="none" w:sz="0" w:space="0" w:color="auto"/>
            <w:left w:val="none" w:sz="0" w:space="0" w:color="auto"/>
            <w:bottom w:val="none" w:sz="0" w:space="0" w:color="auto"/>
            <w:right w:val="none" w:sz="0" w:space="0" w:color="auto"/>
          </w:divBdr>
        </w:div>
        <w:div w:id="695498413">
          <w:marLeft w:val="274"/>
          <w:marRight w:val="0"/>
          <w:marTop w:val="0"/>
          <w:marBottom w:val="120"/>
          <w:divBdr>
            <w:top w:val="none" w:sz="0" w:space="0" w:color="auto"/>
            <w:left w:val="none" w:sz="0" w:space="0" w:color="auto"/>
            <w:bottom w:val="none" w:sz="0" w:space="0" w:color="auto"/>
            <w:right w:val="none" w:sz="0" w:space="0" w:color="auto"/>
          </w:divBdr>
        </w:div>
        <w:div w:id="334309788">
          <w:marLeft w:val="562"/>
          <w:marRight w:val="0"/>
          <w:marTop w:val="0"/>
          <w:marBottom w:val="120"/>
          <w:divBdr>
            <w:top w:val="none" w:sz="0" w:space="0" w:color="auto"/>
            <w:left w:val="none" w:sz="0" w:space="0" w:color="auto"/>
            <w:bottom w:val="none" w:sz="0" w:space="0" w:color="auto"/>
            <w:right w:val="none" w:sz="0" w:space="0" w:color="auto"/>
          </w:divBdr>
        </w:div>
        <w:div w:id="618419824">
          <w:marLeft w:val="936"/>
          <w:marRight w:val="0"/>
          <w:marTop w:val="0"/>
          <w:marBottom w:val="120"/>
          <w:divBdr>
            <w:top w:val="none" w:sz="0" w:space="0" w:color="auto"/>
            <w:left w:val="none" w:sz="0" w:space="0" w:color="auto"/>
            <w:bottom w:val="none" w:sz="0" w:space="0" w:color="auto"/>
            <w:right w:val="none" w:sz="0" w:space="0" w:color="auto"/>
          </w:divBdr>
        </w:div>
        <w:div w:id="1077481052">
          <w:marLeft w:val="562"/>
          <w:marRight w:val="0"/>
          <w:marTop w:val="0"/>
          <w:marBottom w:val="120"/>
          <w:divBdr>
            <w:top w:val="none" w:sz="0" w:space="0" w:color="auto"/>
            <w:left w:val="none" w:sz="0" w:space="0" w:color="auto"/>
            <w:bottom w:val="none" w:sz="0" w:space="0" w:color="auto"/>
            <w:right w:val="none" w:sz="0" w:space="0" w:color="auto"/>
          </w:divBdr>
        </w:div>
      </w:divsChild>
    </w:div>
    <w:div w:id="210063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5AIRPNAIUNRU-859666464-3871</_dlc_DocId>
    <_dlc_DocIdUrl xmlns="71c5aaf6-e6ce-465b-b873-5148d2a4c105">
      <Url>https://nokia.sharepoint.com/sites/c5g/e2earch/_layouts/15/DocIdRedir.aspx?ID=5AIRPNAIUNRU-859666464-3871</Url>
      <Description>5AIRPNAIUNRU-859666464-3871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3.xml><?xml version="1.0" encoding="utf-8"?>
<ds:datastoreItem xmlns:ds="http://schemas.openxmlformats.org/officeDocument/2006/customXml" ds:itemID="{86873D7C-CEDF-4D41-B470-0299D3FA1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965C463-2369-422F-A81E-A56B5FF166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113</TotalTime>
  <Pages>1</Pages>
  <Words>1222</Words>
  <Characters>6968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Meng, Yan B. (NSB - CN/Shanghai)</dc:creator>
  <cp:lastModifiedBy>Nokia(GWO)2</cp:lastModifiedBy>
  <cp:revision>24</cp:revision>
  <dcterms:created xsi:type="dcterms:W3CDTF">2018-09-25T09:27:00Z</dcterms:created>
  <dcterms:modified xsi:type="dcterms:W3CDTF">2018-09-27T14:20:00Z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7774f028-588b-4ae0-b328-f21e9bf44592</vt:lpwstr>
  </property>
</Properties>
</file>